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44" w:rsidRPr="00775944" w:rsidRDefault="00775944" w:rsidP="00775944">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r w:rsidRPr="00775944">
        <w:rPr>
          <w:rFonts w:ascii="Times New Roman" w:eastAsia="Times New Roman" w:hAnsi="Times New Roman" w:cs="Times New Roman"/>
          <w:b/>
          <w:bCs/>
          <w:sz w:val="36"/>
          <w:szCs w:val="36"/>
          <w:lang w:val="uk-UA" w:eastAsia="ru-RU"/>
        </w:rPr>
        <w:t>ПРАВЛІННЯ ПЕНСІЙНОГО ФОНДУ УКРАЇНИ</w:t>
      </w:r>
    </w:p>
    <w:p w:rsidR="00775944" w:rsidRPr="00775944" w:rsidRDefault="00775944" w:rsidP="00775944">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r w:rsidRPr="00775944">
        <w:rPr>
          <w:rFonts w:ascii="Times New Roman" w:eastAsia="Times New Roman" w:hAnsi="Times New Roman" w:cs="Times New Roman"/>
          <w:b/>
          <w:bCs/>
          <w:sz w:val="36"/>
          <w:szCs w:val="36"/>
          <w:lang w:val="uk-UA" w:eastAsia="ru-RU"/>
        </w:rPr>
        <w:t>ПОСТАНОВА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667"/>
        <w:gridCol w:w="3131"/>
        <w:gridCol w:w="3668"/>
      </w:tblGrid>
      <w:tr w:rsidR="00775944" w:rsidRPr="00775944" w:rsidTr="00775944">
        <w:trPr>
          <w:tblCellSpacing w:w="22" w:type="dxa"/>
        </w:trPr>
        <w:tc>
          <w:tcPr>
            <w:tcW w:w="1750" w:type="pct"/>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04.02.2021</w:t>
            </w:r>
          </w:p>
        </w:tc>
        <w:tc>
          <w:tcPr>
            <w:tcW w:w="1500" w:type="pct"/>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м. Київ</w:t>
            </w:r>
          </w:p>
        </w:tc>
        <w:tc>
          <w:tcPr>
            <w:tcW w:w="1750" w:type="pct"/>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N 3-1</w:t>
            </w:r>
          </w:p>
        </w:tc>
      </w:tr>
    </w:tbl>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Зареєстровано в Міністерстві юстиції України</w:t>
      </w:r>
      <w:r w:rsidRPr="00775944">
        <w:rPr>
          <w:rFonts w:ascii="Times New Roman" w:eastAsia="Times New Roman" w:hAnsi="Times New Roman" w:cs="Times New Roman"/>
          <w:b/>
          <w:bCs/>
          <w:sz w:val="24"/>
          <w:szCs w:val="24"/>
          <w:lang w:val="uk-UA" w:eastAsia="ru-RU"/>
        </w:rPr>
        <w:br/>
        <w:t>07 квітня 2021 р. за N 463/36085</w:t>
      </w:r>
    </w:p>
    <w:p w:rsidR="00775944" w:rsidRPr="00775944" w:rsidRDefault="00775944" w:rsidP="00775944">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r w:rsidRPr="00775944">
        <w:rPr>
          <w:rFonts w:ascii="Times New Roman" w:eastAsia="Times New Roman" w:hAnsi="Times New Roman" w:cs="Times New Roman"/>
          <w:b/>
          <w:bCs/>
          <w:sz w:val="36"/>
          <w:szCs w:val="36"/>
          <w:lang w:val="uk-UA" w:eastAsia="ru-RU"/>
        </w:rPr>
        <w:t>Про затвердження форми довідки про нараховані суми грошового забезпечення та про сплачені страхові внески та Порядку розрахунку сум грошового забезпечення, якщо документи про його нарахування та про сплачені страхові внески зберігаються на тимчасово окупованих територіях у Донецькій та Луганській областях, Автономної Республіки Крим та міста Севастополя або знищено</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xml:space="preserve">Відповідно до </w:t>
      </w:r>
      <w:hyperlink r:id="rId4" w:tgtFrame="_blank" w:history="1">
        <w:r w:rsidRPr="00775944">
          <w:rPr>
            <w:rFonts w:ascii="Times New Roman" w:eastAsia="Times New Roman" w:hAnsi="Times New Roman" w:cs="Times New Roman"/>
            <w:sz w:val="24"/>
            <w:szCs w:val="24"/>
            <w:lang w:val="uk-UA" w:eastAsia="ru-RU"/>
          </w:rPr>
          <w:t>пунктів 9</w:t>
        </w:r>
      </w:hyperlink>
      <w:r w:rsidRPr="00775944">
        <w:rPr>
          <w:rFonts w:ascii="Times New Roman" w:eastAsia="Times New Roman" w:hAnsi="Times New Roman" w:cs="Times New Roman"/>
          <w:sz w:val="24"/>
          <w:szCs w:val="24"/>
          <w:lang w:val="uk-UA" w:eastAsia="ru-RU"/>
        </w:rPr>
        <w:t>, 10 Положення про Пенсійний фонд України, затвердженого постановою Кабінету Міністрів України від 23 липня 2014 року N 280, пункту 2 Порядку зарахування періодів служби до страхового стажу військовослужбовцям (крім військовослужбовців строкової військової служби), особам начальницького і рядового складу за період з 1 січня 2004 р. по 31 грудня 2006 р., затвердженого постановою Кабінету Міністрів України від 21 серпня 2019 року N 770, правління Пенсійного фонду України</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ПОСТАНОВЛЯЄ:</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1. Затвердити такі, що додаються:</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форму довідки про нараховані суми грошового забезпечення та про сплачені страхові внески;</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Порядок розрахунку сум грошового забезпечення, якщо документи про його нарахування та про сплачені страхові внески зберігаються на тимчасово окупованих територіях у Донецькій та Луганській областях, Автономної Республіки Крим та міста Севастополя або знищено.</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2. Департаменту пенсійного забезпечення (</w:t>
      </w:r>
      <w:proofErr w:type="spellStart"/>
      <w:r w:rsidRPr="00775944">
        <w:rPr>
          <w:rFonts w:ascii="Times New Roman" w:eastAsia="Times New Roman" w:hAnsi="Times New Roman" w:cs="Times New Roman"/>
          <w:sz w:val="24"/>
          <w:szCs w:val="24"/>
          <w:lang w:val="uk-UA" w:eastAsia="ru-RU"/>
        </w:rPr>
        <w:t>Охріменко</w:t>
      </w:r>
      <w:proofErr w:type="spellEnd"/>
      <w:r w:rsidRPr="00775944">
        <w:rPr>
          <w:rFonts w:ascii="Times New Roman" w:eastAsia="Times New Roman" w:hAnsi="Times New Roman" w:cs="Times New Roman"/>
          <w:sz w:val="24"/>
          <w:szCs w:val="24"/>
          <w:lang w:val="uk-UA" w:eastAsia="ru-RU"/>
        </w:rPr>
        <w:t xml:space="preserve"> О.) подати цю постанову на державну реєстрацію до Міністерства юстиції України.</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3. Ця постанова набирає чинності з дня її офіційного опублікування.</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5233"/>
        <w:gridCol w:w="5233"/>
      </w:tblGrid>
      <w:tr w:rsidR="00775944" w:rsidRPr="00775944" w:rsidTr="00775944">
        <w:trPr>
          <w:tblCellSpacing w:w="22" w:type="dxa"/>
        </w:trPr>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Голова правління</w:t>
            </w:r>
          </w:p>
        </w:tc>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Євгеній КАПІНУС</w:t>
            </w:r>
          </w:p>
        </w:tc>
      </w:tr>
      <w:tr w:rsidR="00775944" w:rsidRPr="00775944" w:rsidTr="00775944">
        <w:trPr>
          <w:tblCellSpacing w:w="22" w:type="dxa"/>
        </w:trPr>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ПОГОДЖЕНО:</w:t>
            </w:r>
          </w:p>
        </w:tc>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r>
      <w:tr w:rsidR="00775944" w:rsidRPr="00775944" w:rsidTr="00775944">
        <w:trPr>
          <w:tblCellSpacing w:w="22" w:type="dxa"/>
        </w:trPr>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 xml:space="preserve">Виконавчий </w:t>
            </w:r>
            <w:proofErr w:type="spellStart"/>
            <w:r w:rsidRPr="00775944">
              <w:rPr>
                <w:rFonts w:ascii="Times New Roman" w:eastAsia="Times New Roman" w:hAnsi="Times New Roman" w:cs="Times New Roman"/>
                <w:b/>
                <w:bCs/>
                <w:sz w:val="24"/>
                <w:szCs w:val="24"/>
                <w:lang w:val="uk-UA" w:eastAsia="ru-RU"/>
              </w:rPr>
              <w:t>Віцепрезидент</w:t>
            </w:r>
            <w:proofErr w:type="spellEnd"/>
            <w:r w:rsidRPr="00775944">
              <w:rPr>
                <w:rFonts w:ascii="Times New Roman" w:eastAsia="Times New Roman" w:hAnsi="Times New Roman" w:cs="Times New Roman"/>
                <w:b/>
                <w:bCs/>
                <w:sz w:val="24"/>
                <w:szCs w:val="24"/>
                <w:lang w:val="uk-UA" w:eastAsia="ru-RU"/>
              </w:rPr>
              <w:br/>
              <w:t>Конфедерації роботодавців України</w:t>
            </w:r>
          </w:p>
        </w:tc>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О. МІРОШНИЧННКО</w:t>
            </w:r>
          </w:p>
        </w:tc>
      </w:tr>
      <w:tr w:rsidR="00775944" w:rsidRPr="00775944" w:rsidTr="00775944">
        <w:trPr>
          <w:tblCellSpacing w:w="22" w:type="dxa"/>
        </w:trPr>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Міністр внутрішніх справ України</w:t>
            </w:r>
          </w:p>
        </w:tc>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Арсен АВАКОВ</w:t>
            </w:r>
          </w:p>
        </w:tc>
      </w:tr>
      <w:tr w:rsidR="00775944" w:rsidRPr="00775944" w:rsidTr="00775944">
        <w:trPr>
          <w:tblCellSpacing w:w="22" w:type="dxa"/>
        </w:trPr>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Міністр оборони України</w:t>
            </w:r>
          </w:p>
        </w:tc>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Андрій ТАРАН</w:t>
            </w:r>
          </w:p>
        </w:tc>
      </w:tr>
      <w:tr w:rsidR="00775944" w:rsidRPr="00775944" w:rsidTr="00775944">
        <w:trPr>
          <w:tblCellSpacing w:w="22" w:type="dxa"/>
        </w:trPr>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lastRenderedPageBreak/>
              <w:t>Міністр соціальної політики України</w:t>
            </w:r>
          </w:p>
        </w:tc>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Марина ЛАЗЕБНА</w:t>
            </w:r>
          </w:p>
        </w:tc>
      </w:tr>
      <w:tr w:rsidR="00775944" w:rsidRPr="00775944" w:rsidTr="00775944">
        <w:trPr>
          <w:tblCellSpacing w:w="22" w:type="dxa"/>
        </w:trPr>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Перший заступник Голови</w:t>
            </w:r>
            <w:r w:rsidRPr="00775944">
              <w:rPr>
                <w:rFonts w:ascii="Times New Roman" w:eastAsia="Times New Roman" w:hAnsi="Times New Roman" w:cs="Times New Roman"/>
                <w:b/>
                <w:bCs/>
                <w:sz w:val="24"/>
                <w:szCs w:val="24"/>
                <w:lang w:val="uk-UA" w:eastAsia="ru-RU"/>
              </w:rPr>
              <w:br/>
              <w:t>Служби безпеки України</w:t>
            </w:r>
          </w:p>
        </w:tc>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Василь МАЛЮК</w:t>
            </w:r>
          </w:p>
        </w:tc>
      </w:tr>
      <w:tr w:rsidR="00775944" w:rsidRPr="00775944" w:rsidTr="00775944">
        <w:trPr>
          <w:tblCellSpacing w:w="22" w:type="dxa"/>
        </w:trPr>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Голова СПО</w:t>
            </w:r>
            <w:r w:rsidRPr="00775944">
              <w:rPr>
                <w:rFonts w:ascii="Times New Roman" w:eastAsia="Times New Roman" w:hAnsi="Times New Roman" w:cs="Times New Roman"/>
                <w:b/>
                <w:bCs/>
                <w:sz w:val="24"/>
                <w:szCs w:val="24"/>
                <w:lang w:val="uk-UA" w:eastAsia="ru-RU"/>
              </w:rPr>
              <w:br/>
              <w:t>об'єднань профспілок</w:t>
            </w:r>
          </w:p>
        </w:tc>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Г. В. ОСОВИЙ</w:t>
            </w:r>
          </w:p>
        </w:tc>
      </w:tr>
      <w:tr w:rsidR="00775944" w:rsidRPr="00775944" w:rsidTr="00775944">
        <w:trPr>
          <w:tblCellSpacing w:w="22" w:type="dxa"/>
        </w:trPr>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Уповноважений Верховної</w:t>
            </w:r>
            <w:r w:rsidRPr="00775944">
              <w:rPr>
                <w:rFonts w:ascii="Times New Roman" w:eastAsia="Times New Roman" w:hAnsi="Times New Roman" w:cs="Times New Roman"/>
                <w:b/>
                <w:bCs/>
                <w:sz w:val="24"/>
                <w:szCs w:val="24"/>
                <w:lang w:val="uk-UA" w:eastAsia="ru-RU"/>
              </w:rPr>
              <w:br/>
              <w:t>Ради України з прав людини</w:t>
            </w:r>
          </w:p>
        </w:tc>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Л. ДЕНІСОВА</w:t>
            </w:r>
          </w:p>
        </w:tc>
      </w:tr>
      <w:tr w:rsidR="00775944" w:rsidRPr="00775944" w:rsidTr="00775944">
        <w:trPr>
          <w:tblCellSpacing w:w="22" w:type="dxa"/>
        </w:trPr>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Керівник Секретаріату</w:t>
            </w:r>
            <w:r w:rsidRPr="00775944">
              <w:rPr>
                <w:rFonts w:ascii="Times New Roman" w:eastAsia="Times New Roman" w:hAnsi="Times New Roman" w:cs="Times New Roman"/>
                <w:b/>
                <w:bCs/>
                <w:sz w:val="24"/>
                <w:szCs w:val="24"/>
                <w:lang w:val="uk-UA" w:eastAsia="ru-RU"/>
              </w:rPr>
              <w:br/>
              <w:t>Спільного представницького</w:t>
            </w:r>
            <w:r w:rsidRPr="00775944">
              <w:rPr>
                <w:rFonts w:ascii="Times New Roman" w:eastAsia="Times New Roman" w:hAnsi="Times New Roman" w:cs="Times New Roman"/>
                <w:b/>
                <w:bCs/>
                <w:sz w:val="24"/>
                <w:szCs w:val="24"/>
                <w:lang w:val="uk-UA" w:eastAsia="ru-RU"/>
              </w:rPr>
              <w:br/>
              <w:t>органу сторони роботодавців</w:t>
            </w:r>
            <w:r w:rsidRPr="00775944">
              <w:rPr>
                <w:rFonts w:ascii="Times New Roman" w:eastAsia="Times New Roman" w:hAnsi="Times New Roman" w:cs="Times New Roman"/>
                <w:b/>
                <w:bCs/>
                <w:sz w:val="24"/>
                <w:szCs w:val="24"/>
                <w:lang w:val="uk-UA" w:eastAsia="ru-RU"/>
              </w:rPr>
              <w:br/>
              <w:t>на національному рівні</w:t>
            </w:r>
          </w:p>
        </w:tc>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Р. ІЛЛІЧОВ</w:t>
            </w:r>
          </w:p>
        </w:tc>
      </w:tr>
    </w:tbl>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ЗАТВЕРДЖЕНО</w:t>
      </w:r>
      <w:r w:rsidRPr="00775944">
        <w:rPr>
          <w:rFonts w:ascii="Times New Roman" w:eastAsia="Times New Roman" w:hAnsi="Times New Roman" w:cs="Times New Roman"/>
          <w:sz w:val="24"/>
          <w:szCs w:val="24"/>
          <w:lang w:val="uk-UA" w:eastAsia="ru-RU"/>
        </w:rPr>
        <w:br/>
        <w:t>Постанова правління Пенсійного фонду України</w:t>
      </w:r>
      <w:r w:rsidRPr="00775944">
        <w:rPr>
          <w:rFonts w:ascii="Times New Roman" w:eastAsia="Times New Roman" w:hAnsi="Times New Roman" w:cs="Times New Roman"/>
          <w:sz w:val="24"/>
          <w:szCs w:val="24"/>
          <w:lang w:val="uk-UA" w:eastAsia="ru-RU"/>
        </w:rPr>
        <w:br/>
        <w:t>04 лютого 2021 року N 3-1</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5250"/>
        <w:gridCol w:w="5250"/>
      </w:tblGrid>
      <w:tr w:rsidR="00775944" w:rsidRPr="00775944" w:rsidTr="00775944">
        <w:trPr>
          <w:tblCellSpacing w:w="22" w:type="dxa"/>
          <w:jc w:val="center"/>
        </w:trPr>
        <w:tc>
          <w:tcPr>
            <w:tcW w:w="2500" w:type="pct"/>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Штамп органу (установи),</w:t>
            </w:r>
            <w:r w:rsidRPr="00775944">
              <w:rPr>
                <w:rFonts w:ascii="Times New Roman" w:eastAsia="Times New Roman" w:hAnsi="Times New Roman" w:cs="Times New Roman"/>
                <w:sz w:val="24"/>
                <w:szCs w:val="24"/>
                <w:lang w:val="uk-UA" w:eastAsia="ru-RU"/>
              </w:rPr>
              <w:br/>
              <w:t>що видав довідку</w:t>
            </w:r>
            <w:r w:rsidRPr="00775944">
              <w:rPr>
                <w:rFonts w:ascii="Times New Roman" w:eastAsia="Times New Roman" w:hAnsi="Times New Roman" w:cs="Times New Roman"/>
                <w:sz w:val="24"/>
                <w:szCs w:val="24"/>
                <w:lang w:val="uk-UA" w:eastAsia="ru-RU"/>
              </w:rPr>
              <w:br/>
              <w:t>________________ N _________</w:t>
            </w:r>
            <w:r w:rsidRPr="00775944">
              <w:rPr>
                <w:rFonts w:ascii="Times New Roman" w:eastAsia="Times New Roman" w:hAnsi="Times New Roman" w:cs="Times New Roman"/>
                <w:sz w:val="24"/>
                <w:szCs w:val="24"/>
                <w:lang w:val="uk-UA" w:eastAsia="ru-RU"/>
              </w:rPr>
              <w:br/>
              <w:t>                  (дата)</w:t>
            </w:r>
          </w:p>
        </w:tc>
        <w:tc>
          <w:tcPr>
            <w:tcW w:w="2500" w:type="pct"/>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r>
    </w:tbl>
    <w:p w:rsidR="00775944" w:rsidRPr="00775944" w:rsidRDefault="00775944" w:rsidP="00775944">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r w:rsidRPr="00775944">
        <w:rPr>
          <w:rFonts w:ascii="Times New Roman" w:eastAsia="Times New Roman" w:hAnsi="Times New Roman" w:cs="Times New Roman"/>
          <w:b/>
          <w:bCs/>
          <w:sz w:val="27"/>
          <w:szCs w:val="27"/>
          <w:lang w:val="uk-UA" w:eastAsia="ru-RU"/>
        </w:rPr>
        <w:t>ДОВІДКА</w:t>
      </w:r>
      <w:r w:rsidRPr="00775944">
        <w:rPr>
          <w:rFonts w:ascii="Times New Roman" w:eastAsia="Times New Roman" w:hAnsi="Times New Roman" w:cs="Times New Roman"/>
          <w:b/>
          <w:bCs/>
          <w:sz w:val="27"/>
          <w:szCs w:val="27"/>
          <w:lang w:val="uk-UA" w:eastAsia="ru-RU"/>
        </w:rPr>
        <w:br/>
        <w:t>про нараховані суми грошового забезпечення та про сплачені страхові внески</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166"/>
        <w:gridCol w:w="1445"/>
        <w:gridCol w:w="1447"/>
        <w:gridCol w:w="1645"/>
        <w:gridCol w:w="1547"/>
        <w:gridCol w:w="3046"/>
        <w:gridCol w:w="44"/>
        <w:gridCol w:w="1145"/>
      </w:tblGrid>
      <w:tr w:rsidR="00775944" w:rsidRPr="00775944" w:rsidTr="00775944">
        <w:trPr>
          <w:gridAfter w:val="2"/>
          <w:wAfter w:w="3431" w:type="dxa"/>
          <w:tblCellSpacing w:w="22" w:type="dxa"/>
          <w:jc w:val="center"/>
        </w:trPr>
        <w:tc>
          <w:tcPr>
            <w:tcW w:w="5000" w:type="pct"/>
            <w:gridSpan w:val="6"/>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Видана ______________________________________________________________________________</w:t>
            </w:r>
            <w:r w:rsidRPr="00775944">
              <w:rPr>
                <w:rFonts w:ascii="Times New Roman" w:eastAsia="Times New Roman" w:hAnsi="Times New Roman" w:cs="Times New Roman"/>
                <w:sz w:val="24"/>
                <w:szCs w:val="24"/>
                <w:lang w:val="uk-UA" w:eastAsia="ru-RU"/>
              </w:rPr>
              <w:br/>
              <w:t>                                                                               (прізвище, ім'я, по батькові (за наявності))</w:t>
            </w:r>
            <w:r w:rsidRPr="00775944">
              <w:rPr>
                <w:rFonts w:ascii="Times New Roman" w:eastAsia="Times New Roman" w:hAnsi="Times New Roman" w:cs="Times New Roman"/>
                <w:sz w:val="24"/>
                <w:szCs w:val="24"/>
                <w:lang w:val="uk-UA" w:eastAsia="ru-RU"/>
              </w:rPr>
              <w:br/>
              <w:t>про те, що він (вона) проходив(ла) службу в</w:t>
            </w:r>
            <w:r w:rsidRPr="00775944">
              <w:rPr>
                <w:rFonts w:ascii="Times New Roman" w:eastAsia="Times New Roman" w:hAnsi="Times New Roman" w:cs="Times New Roman"/>
                <w:sz w:val="24"/>
                <w:szCs w:val="24"/>
                <w:lang w:val="uk-UA" w:eastAsia="ru-RU"/>
              </w:rPr>
              <w:br/>
              <w:t>_____________________________________________________________________________________</w:t>
            </w:r>
            <w:r w:rsidRPr="00775944">
              <w:rPr>
                <w:rFonts w:ascii="Times New Roman" w:eastAsia="Times New Roman" w:hAnsi="Times New Roman" w:cs="Times New Roman"/>
                <w:sz w:val="24"/>
                <w:szCs w:val="24"/>
                <w:lang w:val="uk-UA" w:eastAsia="ru-RU"/>
              </w:rPr>
              <w:br/>
              <w:t>                                                                                              (найменування органу)</w:t>
            </w:r>
            <w:r w:rsidRPr="00775944">
              <w:rPr>
                <w:rFonts w:ascii="Times New Roman" w:eastAsia="Times New Roman" w:hAnsi="Times New Roman" w:cs="Times New Roman"/>
                <w:sz w:val="24"/>
                <w:szCs w:val="24"/>
                <w:lang w:val="uk-UA" w:eastAsia="ru-RU"/>
              </w:rPr>
              <w:br/>
              <w:t>з ________________________________________ по _________________________________________</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r w:rsidRPr="00775944">
              <w:rPr>
                <w:rFonts w:ascii="Times New Roman" w:eastAsia="Times New Roman" w:hAnsi="Times New Roman" w:cs="Times New Roman"/>
                <w:noProof/>
                <w:sz w:val="24"/>
                <w:szCs w:val="24"/>
                <w:lang w:val="uk-UA" w:eastAsia="ru-RU"/>
              </w:rPr>
              <w:drawing>
                <wp:inline distT="0" distB="0" distL="0" distR="0">
                  <wp:extent cx="238760" cy="222885"/>
                  <wp:effectExtent l="0" t="0" r="8890" b="5715"/>
                  <wp:docPr id="2" name="Рисунок 2" descr="https://ips.ligazakon.net/l_flib1.nsf/LookupFiles/RE36085_img_001.gif/$file/RE3608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s.ligazakon.net/l_flib1.nsf/LookupFiles/RE36085_img_001.gif/$file/RE36085_img_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760" cy="222885"/>
                          </a:xfrm>
                          <a:prstGeom prst="rect">
                            <a:avLst/>
                          </a:prstGeom>
                          <a:noFill/>
                          <a:ln>
                            <a:noFill/>
                          </a:ln>
                        </pic:spPr>
                      </pic:pic>
                    </a:graphicData>
                  </a:graphic>
                </wp:inline>
              </w:drawing>
            </w:r>
            <w:r w:rsidRPr="00775944">
              <w:rPr>
                <w:rFonts w:ascii="Times New Roman" w:eastAsia="Times New Roman" w:hAnsi="Times New Roman" w:cs="Times New Roman"/>
                <w:sz w:val="24"/>
                <w:szCs w:val="24"/>
                <w:lang w:val="uk-UA" w:eastAsia="ru-RU"/>
              </w:rPr>
              <w:t xml:space="preserve"> у період служби йому (їй) нараховано суми грошового забезпечення (ГЗ) та сплачено страхові внески (СВ), які враховуються при обчисленні пенсії (грн):</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r w:rsidRPr="00775944">
              <w:rPr>
                <w:rFonts w:ascii="Times New Roman" w:eastAsia="Times New Roman" w:hAnsi="Times New Roman" w:cs="Times New Roman"/>
                <w:noProof/>
                <w:sz w:val="24"/>
                <w:szCs w:val="24"/>
                <w:lang w:val="uk-UA" w:eastAsia="ru-RU"/>
              </w:rPr>
              <w:drawing>
                <wp:inline distT="0" distB="0" distL="0" distR="0">
                  <wp:extent cx="238760" cy="222885"/>
                  <wp:effectExtent l="0" t="0" r="8890" b="5715"/>
                  <wp:docPr id="1" name="Рисунок 1" descr="https://ips.ligazakon.net/l_flib1.nsf/LookupFiles/RE36085_img_001.gif/$file/RE3608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s.ligazakon.net/l_flib1.nsf/LookupFiles/RE36085_img_001.gif/$file/RE36085_img_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760" cy="222885"/>
                          </a:xfrm>
                          <a:prstGeom prst="rect">
                            <a:avLst/>
                          </a:prstGeom>
                          <a:noFill/>
                          <a:ln>
                            <a:noFill/>
                          </a:ln>
                        </pic:spPr>
                      </pic:pic>
                    </a:graphicData>
                  </a:graphic>
                </wp:inline>
              </w:drawing>
            </w:r>
            <w:r w:rsidRPr="00775944">
              <w:rPr>
                <w:rFonts w:ascii="Times New Roman" w:eastAsia="Times New Roman" w:hAnsi="Times New Roman" w:cs="Times New Roman"/>
                <w:sz w:val="24"/>
                <w:szCs w:val="24"/>
                <w:lang w:val="uk-UA" w:eastAsia="ru-RU"/>
              </w:rPr>
              <w:t xml:space="preserve"> за період служби йому (їй) розраховано суми грошового забезпечення (ГЗ), які враховуються при обчисленні пенсії (грн):</w:t>
            </w:r>
          </w:p>
        </w:tc>
      </w:tr>
      <w:tr w:rsidR="00775944" w:rsidRPr="00775944" w:rsidTr="00775944">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550" w:type="pct"/>
            <w:vMerge w:val="restar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Місяці</w:t>
            </w:r>
          </w:p>
        </w:tc>
        <w:tc>
          <w:tcPr>
            <w:tcW w:w="1400" w:type="pct"/>
            <w:gridSpan w:val="2"/>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______ р.</w:t>
            </w:r>
          </w:p>
        </w:tc>
        <w:tc>
          <w:tcPr>
            <w:tcW w:w="1550" w:type="pct"/>
            <w:gridSpan w:val="2"/>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_____ р.</w:t>
            </w:r>
          </w:p>
        </w:tc>
        <w:tc>
          <w:tcPr>
            <w:tcW w:w="1500" w:type="pct"/>
            <w:gridSpan w:val="3"/>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______ р.</w:t>
            </w:r>
          </w:p>
        </w:tc>
      </w:tr>
      <w:tr w:rsidR="00775944" w:rsidRPr="00775944" w:rsidTr="00775944">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after="0" w:line="240" w:lineRule="auto"/>
              <w:rPr>
                <w:rFonts w:ascii="Times New Roman" w:eastAsia="Times New Roman" w:hAnsi="Times New Roman" w:cs="Times New Roman"/>
                <w:sz w:val="24"/>
                <w:szCs w:val="24"/>
                <w:lang w:val="uk-UA" w:eastAsia="ru-RU"/>
              </w:rPr>
            </w:pP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Сума ГЗ</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Відомості про сплату СВ* (так/ні)</w:t>
            </w:r>
          </w:p>
        </w:tc>
        <w:tc>
          <w:tcPr>
            <w:tcW w:w="8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Сума ГЗ</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Відомості про сплату СВ* (так/ні)</w:t>
            </w:r>
          </w:p>
        </w:tc>
        <w:tc>
          <w:tcPr>
            <w:tcW w:w="750" w:type="pct"/>
            <w:gridSpan w:val="2"/>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Сума ГЗ</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Відомості про сплату СВ* (так/ні)</w:t>
            </w:r>
          </w:p>
        </w:tc>
      </w:tr>
      <w:tr w:rsidR="00775944" w:rsidRPr="00775944" w:rsidTr="00775944">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1</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2</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3</w:t>
            </w:r>
          </w:p>
        </w:tc>
        <w:tc>
          <w:tcPr>
            <w:tcW w:w="8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4</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5</w:t>
            </w:r>
          </w:p>
        </w:tc>
        <w:tc>
          <w:tcPr>
            <w:tcW w:w="750" w:type="pct"/>
            <w:gridSpan w:val="2"/>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6</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7</w:t>
            </w:r>
          </w:p>
        </w:tc>
      </w:tr>
      <w:tr w:rsidR="00775944" w:rsidRPr="00775944" w:rsidTr="00775944">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Січень</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gridSpan w:val="2"/>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r>
      <w:tr w:rsidR="00775944" w:rsidRPr="00775944" w:rsidTr="00775944">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lastRenderedPageBreak/>
              <w:t>Лютий</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gridSpan w:val="2"/>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r>
      <w:tr w:rsidR="00775944" w:rsidRPr="00775944" w:rsidTr="00775944">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Березень</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gridSpan w:val="2"/>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r>
      <w:tr w:rsidR="00775944" w:rsidRPr="00775944" w:rsidTr="00775944">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Квітень</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gridSpan w:val="2"/>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r>
      <w:tr w:rsidR="00775944" w:rsidRPr="00775944" w:rsidTr="00775944">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Травень</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gridSpan w:val="2"/>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r>
      <w:tr w:rsidR="00775944" w:rsidRPr="00775944" w:rsidTr="00775944">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Червень</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gridSpan w:val="2"/>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r>
      <w:tr w:rsidR="00775944" w:rsidRPr="00775944" w:rsidTr="00775944">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Липень</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gridSpan w:val="2"/>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r>
      <w:tr w:rsidR="00775944" w:rsidRPr="00775944" w:rsidTr="00775944">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Серпень</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gridSpan w:val="2"/>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r>
      <w:tr w:rsidR="00775944" w:rsidRPr="00775944" w:rsidTr="00775944">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Вересень</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gridSpan w:val="2"/>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r>
      <w:tr w:rsidR="00775944" w:rsidRPr="00775944" w:rsidTr="00775944">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Жовтень</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gridSpan w:val="2"/>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r>
      <w:tr w:rsidR="00775944" w:rsidRPr="00775944" w:rsidTr="00775944">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Листопад</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gridSpan w:val="2"/>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r>
      <w:tr w:rsidR="00775944" w:rsidRPr="00775944" w:rsidTr="00775944">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Грудень</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gridSpan w:val="2"/>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r>
      <w:tr w:rsidR="00775944" w:rsidRPr="00775944" w:rsidTr="00775944">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Усього</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gridSpan w:val="2"/>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r>
    </w:tbl>
    <w:p w:rsidR="00775944" w:rsidRPr="00775944" w:rsidRDefault="00775944" w:rsidP="00775944">
      <w:pPr>
        <w:spacing w:after="0" w:line="240" w:lineRule="auto"/>
        <w:rPr>
          <w:rFonts w:ascii="Times New Roman" w:eastAsia="Times New Roman" w:hAnsi="Times New Roman" w:cs="Times New Roman"/>
          <w:vanish/>
          <w:sz w:val="24"/>
          <w:szCs w:val="24"/>
          <w:lang w:val="uk-UA" w:eastAsia="ru-RU"/>
        </w:rPr>
      </w:pP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888"/>
        <w:gridCol w:w="3848"/>
        <w:gridCol w:w="2408"/>
        <w:gridCol w:w="3356"/>
      </w:tblGrid>
      <w:tr w:rsidR="00775944" w:rsidRPr="00775944" w:rsidTr="00775944">
        <w:trPr>
          <w:tblCellSpacing w:w="22" w:type="dxa"/>
          <w:jc w:val="center"/>
        </w:trPr>
        <w:tc>
          <w:tcPr>
            <w:tcW w:w="5000" w:type="pct"/>
            <w:gridSpan w:val="4"/>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Довідка видана на підставі:</w:t>
            </w:r>
            <w:r w:rsidRPr="00775944">
              <w:rPr>
                <w:rFonts w:ascii="Times New Roman" w:eastAsia="Times New Roman" w:hAnsi="Times New Roman" w:cs="Times New Roman"/>
                <w:sz w:val="24"/>
                <w:szCs w:val="24"/>
                <w:lang w:val="uk-UA" w:eastAsia="ru-RU"/>
              </w:rPr>
              <w:br/>
              <w:t>_____________________________________________________________________________________</w:t>
            </w:r>
            <w:r w:rsidRPr="00775944">
              <w:rPr>
                <w:rFonts w:ascii="Times New Roman" w:eastAsia="Times New Roman" w:hAnsi="Times New Roman" w:cs="Times New Roman"/>
                <w:sz w:val="24"/>
                <w:szCs w:val="24"/>
                <w:lang w:val="uk-UA" w:eastAsia="ru-RU"/>
              </w:rPr>
              <w:br/>
              <w:t>                                                                                                   (назви документів)</w:t>
            </w:r>
            <w:r w:rsidRPr="00775944">
              <w:rPr>
                <w:rFonts w:ascii="Times New Roman" w:eastAsia="Times New Roman" w:hAnsi="Times New Roman" w:cs="Times New Roman"/>
                <w:sz w:val="24"/>
                <w:szCs w:val="24"/>
                <w:lang w:val="uk-UA" w:eastAsia="ru-RU"/>
              </w:rPr>
              <w:br/>
              <w:t>_____________________________________________________________________________________,</w:t>
            </w:r>
            <w:r w:rsidRPr="00775944">
              <w:rPr>
                <w:rFonts w:ascii="Times New Roman" w:eastAsia="Times New Roman" w:hAnsi="Times New Roman" w:cs="Times New Roman"/>
                <w:sz w:val="24"/>
                <w:szCs w:val="24"/>
                <w:lang w:val="uk-UA" w:eastAsia="ru-RU"/>
              </w:rPr>
              <w:br/>
              <w:t xml:space="preserve">які знаходяться за </w:t>
            </w:r>
            <w:proofErr w:type="spellStart"/>
            <w:r w:rsidRPr="00775944">
              <w:rPr>
                <w:rFonts w:ascii="Times New Roman" w:eastAsia="Times New Roman" w:hAnsi="Times New Roman" w:cs="Times New Roman"/>
                <w:sz w:val="24"/>
                <w:szCs w:val="24"/>
                <w:lang w:val="uk-UA" w:eastAsia="ru-RU"/>
              </w:rPr>
              <w:t>адресою</w:t>
            </w:r>
            <w:proofErr w:type="spellEnd"/>
            <w:r w:rsidRPr="00775944">
              <w:rPr>
                <w:rFonts w:ascii="Times New Roman" w:eastAsia="Times New Roman" w:hAnsi="Times New Roman" w:cs="Times New Roman"/>
                <w:sz w:val="24"/>
                <w:szCs w:val="24"/>
                <w:lang w:val="uk-UA" w:eastAsia="ru-RU"/>
              </w:rPr>
              <w:t>*: _____________________________________________________________.</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Не заперечуємо проти проведення перевірки первинних документів за період, зазначений у цій довідці.*</w:t>
            </w:r>
          </w:p>
        </w:tc>
      </w:tr>
      <w:tr w:rsidR="00775944" w:rsidRPr="00775944" w:rsidTr="00775944">
        <w:tblPrEx>
          <w:tblCellMar>
            <w:top w:w="60" w:type="dxa"/>
            <w:left w:w="60" w:type="dxa"/>
            <w:bottom w:w="60" w:type="dxa"/>
            <w:right w:w="60" w:type="dxa"/>
          </w:tblCellMar>
        </w:tblPrEx>
        <w:trPr>
          <w:tblCellSpacing w:w="22" w:type="dxa"/>
          <w:jc w:val="center"/>
        </w:trPr>
        <w:tc>
          <w:tcPr>
            <w:tcW w:w="400" w:type="pct"/>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М П</w:t>
            </w:r>
          </w:p>
        </w:tc>
        <w:tc>
          <w:tcPr>
            <w:tcW w:w="1850" w:type="pct"/>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Керівник</w:t>
            </w:r>
          </w:p>
        </w:tc>
        <w:tc>
          <w:tcPr>
            <w:tcW w:w="1150" w:type="pct"/>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підпис</w:t>
            </w:r>
          </w:p>
        </w:tc>
        <w:tc>
          <w:tcPr>
            <w:tcW w:w="1600" w:type="pct"/>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Власне ім'я ПРІЗВИЩЕ</w:t>
            </w:r>
          </w:p>
        </w:tc>
      </w:tr>
      <w:tr w:rsidR="00775944" w:rsidRPr="00775944" w:rsidTr="00775944">
        <w:tblPrEx>
          <w:tblCellMar>
            <w:top w:w="60" w:type="dxa"/>
            <w:left w:w="60" w:type="dxa"/>
            <w:bottom w:w="60" w:type="dxa"/>
            <w:right w:w="60" w:type="dxa"/>
          </w:tblCellMar>
        </w:tblPrEx>
        <w:trPr>
          <w:tblCellSpacing w:w="22" w:type="dxa"/>
          <w:jc w:val="center"/>
        </w:trPr>
        <w:tc>
          <w:tcPr>
            <w:tcW w:w="400" w:type="pct"/>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c>
        <w:tc>
          <w:tcPr>
            <w:tcW w:w="1850" w:type="pct"/>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Відповідальна особа</w:t>
            </w:r>
          </w:p>
        </w:tc>
        <w:tc>
          <w:tcPr>
            <w:tcW w:w="1150" w:type="pct"/>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підпис</w:t>
            </w:r>
          </w:p>
        </w:tc>
        <w:tc>
          <w:tcPr>
            <w:tcW w:w="1600" w:type="pct"/>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Власне ім'я ПРІЗВИЩЕ</w:t>
            </w:r>
          </w:p>
        </w:tc>
      </w:tr>
    </w:tbl>
    <w:p w:rsidR="00775944" w:rsidRPr="00775944" w:rsidRDefault="00775944" w:rsidP="00775944">
      <w:pPr>
        <w:spacing w:after="0" w:line="240" w:lineRule="auto"/>
        <w:rPr>
          <w:rFonts w:ascii="Times New Roman" w:eastAsia="Times New Roman" w:hAnsi="Times New Roman" w:cs="Times New Roman"/>
          <w:vanish/>
          <w:sz w:val="24"/>
          <w:szCs w:val="24"/>
          <w:lang w:val="uk-UA" w:eastAsia="ru-RU"/>
        </w:rPr>
      </w:pP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775944" w:rsidRPr="00775944" w:rsidTr="00775944">
        <w:trPr>
          <w:tblCellSpacing w:w="22" w:type="dxa"/>
          <w:jc w:val="center"/>
        </w:trPr>
        <w:tc>
          <w:tcPr>
            <w:tcW w:w="5000" w:type="pct"/>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____________</w:t>
            </w:r>
            <w:r w:rsidRPr="00775944">
              <w:rPr>
                <w:rFonts w:ascii="Times New Roman" w:eastAsia="Times New Roman" w:hAnsi="Times New Roman" w:cs="Times New Roman"/>
                <w:sz w:val="24"/>
                <w:szCs w:val="24"/>
                <w:lang w:val="uk-UA" w:eastAsia="ru-RU"/>
              </w:rPr>
              <w:br/>
              <w:t>* Не застосовується для військовослужбовців, осіб начальницького і рядового складу якщо документи про нарахування грошового забезпечення та про сплачені страхові внески зберігаються на тимчасово окупованих територіях у Донецькій та Луганській областях, Автономної Республіки Крим та міста Севастополя, знищені у зв'язку із стихійним лихом, аваріями, катастрофами або з інших незалежних від застрахованої особи обставин.</w:t>
            </w:r>
          </w:p>
        </w:tc>
      </w:tr>
    </w:tbl>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5233"/>
        <w:gridCol w:w="5233"/>
      </w:tblGrid>
      <w:tr w:rsidR="00775944" w:rsidRPr="00775944" w:rsidTr="00775944">
        <w:trPr>
          <w:tblCellSpacing w:w="22" w:type="dxa"/>
        </w:trPr>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Директор Департаменту</w:t>
            </w:r>
            <w:r w:rsidRPr="00775944">
              <w:rPr>
                <w:rFonts w:ascii="Times New Roman" w:eastAsia="Times New Roman" w:hAnsi="Times New Roman" w:cs="Times New Roman"/>
                <w:b/>
                <w:bCs/>
                <w:sz w:val="24"/>
                <w:szCs w:val="24"/>
                <w:lang w:val="uk-UA" w:eastAsia="ru-RU"/>
              </w:rPr>
              <w:br/>
              <w:t>пенсійного забезпечення</w:t>
            </w:r>
          </w:p>
        </w:tc>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Олена ОХРІМЕНКО</w:t>
            </w:r>
          </w:p>
        </w:tc>
      </w:tr>
    </w:tbl>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 </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ЗАТВЕРДЖЕНО</w:t>
      </w:r>
      <w:r w:rsidRPr="00775944">
        <w:rPr>
          <w:rFonts w:ascii="Times New Roman" w:eastAsia="Times New Roman" w:hAnsi="Times New Roman" w:cs="Times New Roman"/>
          <w:sz w:val="24"/>
          <w:szCs w:val="24"/>
          <w:lang w:val="uk-UA" w:eastAsia="ru-RU"/>
        </w:rPr>
        <w:br/>
        <w:t>Постанова правління Пенсійного фонду України</w:t>
      </w:r>
      <w:r w:rsidRPr="00775944">
        <w:rPr>
          <w:rFonts w:ascii="Times New Roman" w:eastAsia="Times New Roman" w:hAnsi="Times New Roman" w:cs="Times New Roman"/>
          <w:sz w:val="24"/>
          <w:szCs w:val="24"/>
          <w:lang w:val="uk-UA" w:eastAsia="ru-RU"/>
        </w:rPr>
        <w:br/>
        <w:t>04 лютого 2021 року N 3-1</w:t>
      </w:r>
    </w:p>
    <w:p w:rsidR="00775944" w:rsidRPr="00775944" w:rsidRDefault="00775944" w:rsidP="00775944">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r w:rsidRPr="00775944">
        <w:rPr>
          <w:rFonts w:ascii="Times New Roman" w:eastAsia="Times New Roman" w:hAnsi="Times New Roman" w:cs="Times New Roman"/>
          <w:b/>
          <w:bCs/>
          <w:sz w:val="27"/>
          <w:szCs w:val="27"/>
          <w:lang w:val="uk-UA" w:eastAsia="ru-RU"/>
        </w:rPr>
        <w:t>ПОРЯДОК</w:t>
      </w:r>
      <w:r w:rsidRPr="00775944">
        <w:rPr>
          <w:rFonts w:ascii="Times New Roman" w:eastAsia="Times New Roman" w:hAnsi="Times New Roman" w:cs="Times New Roman"/>
          <w:b/>
          <w:bCs/>
          <w:sz w:val="27"/>
          <w:szCs w:val="27"/>
          <w:lang w:val="uk-UA" w:eastAsia="ru-RU"/>
        </w:rPr>
        <w:br/>
        <w:t xml:space="preserve">розрахунку сум грошового забезпечення, якщо документи про його нарахування та про сплачені страхові внески зберігаються на тимчасово окупованих територіях у </w:t>
      </w:r>
      <w:r w:rsidRPr="00775944">
        <w:rPr>
          <w:rFonts w:ascii="Times New Roman" w:eastAsia="Times New Roman" w:hAnsi="Times New Roman" w:cs="Times New Roman"/>
          <w:b/>
          <w:bCs/>
          <w:sz w:val="27"/>
          <w:szCs w:val="27"/>
          <w:lang w:val="uk-UA" w:eastAsia="ru-RU"/>
        </w:rPr>
        <w:lastRenderedPageBreak/>
        <w:t>Донецькій та Луганській областях, Автономної Республіки Крим та міста Севастополя або знищено</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1. Цей Порядок встановлює механізм розрахунку сум грошового забезпечення за періоди служби з 01 січня 2004 року по 31 грудня 2006 року при призначенні пенсії (переведенні на пенсію) відповідно до Закону України "Про загальнообов'язкове державне пенсійне страхування" (далі - Закон) військовослужбовцям (крім військовослужбовців строкової військової служби), особам начальницького і рядового складу (членам їх сімей - у разі призначення пенсії у зв'язку з втратою годувальника), за місяці, за які індивідуальні відомості про застраховану особу в реєстрі застрахованих осіб Державного реєстру загальнообов'язкового державного соціального страхування (далі - Реєстр застрахованих осіб) та інформація Державної податкової служби України з податкового розрахунку сум доходу відсутні, а документи про нарахування грошового забезпечення та про сплачені страхові внески зберігаються на тимчасово окупованих територіях у Донецькій та Луганській областях, Автономної Республіки Крим та міста Севастополя (далі - тимчасово окуповані території), знищені у зв'язку із стихійним лихом, аваріями, катастрофами або з інших незалежних від застрахованої особи обставин.</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2. Якщо документи про нараховані суми грошового забезпечення та про сплачені страхові внески зберігаються на тимчасово окупованих територіях, знищені у зв'язку із стихійним лихом, аваріями, катастрофами або з інших незалежних від застрахованої особи обставин, розрахунок грошового забезпечення для обчислення пенсії здійснюється військовою частиною чи органом, який виплачує (виплачував) грошове забезпечення.</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У разі ліквідації (припинення діяльності) військової частини чи органу, який виплачує (виплачував) грошове забезпечення, розрахунок грошового забезпечення здійснюється правонаступниками або органами, які уповноважені рішеннями керівників державних органів.</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У зазначених цим пунктом випадках видається довідка про нараховані суми грошового забезпечення та про сплачені страхові внески за формою, затвердженою постановою правління Пенсійного фонду України від 04 лютого 2021 року N 3-1.</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Довідка про нараховані суми грошового забезпечення та про сплачені страхові внески видається за зверненням особи, якій призначається пенсія відповідно до Закону України "Про загальнообов'язкове державне пенсійне страхування", або територіальн</w:t>
      </w:r>
      <w:bookmarkStart w:id="0" w:name="_GoBack"/>
      <w:bookmarkEnd w:id="0"/>
      <w:r w:rsidRPr="00775944">
        <w:rPr>
          <w:rFonts w:ascii="Times New Roman" w:eastAsia="Times New Roman" w:hAnsi="Times New Roman" w:cs="Times New Roman"/>
          <w:sz w:val="24"/>
          <w:szCs w:val="24"/>
          <w:lang w:val="uk-UA" w:eastAsia="ru-RU"/>
        </w:rPr>
        <w:t>ого органу Пенсійного фонду України.</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3. Для розрахунку грошового забезпечення використовуються документи особової справи військовослужбовця, особи начальницького і рядового складу (послужний список та інші документи з обліку особового складу), трудові книжки.</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Під час розрахунку грошового забезпечення враховуються:</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посадовий оклад (залежно від займаних посад за періоди проведення розрахунку), оклад за військовим (спеціальним) званням (відповідно до присвоєних звань за періоди проведення розрахунку) у розмірах, визначених законодавством, відповідній категорії військовослужбовців, осіб начальницького і рядового складу;</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надбавка за вислугу років у відсотках посадового окладу з урахуванням окладу за військовим (спеціальним) званням залежно від вислуги років на період проведення розрахунку;</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щомісячні додаткові види грошового забезпечення (надбавки, доплати, підвищення) та премії у розмірах, визначених законодавством, встановлених відповідно до займаних посад. Вказані вище виплати, розміри яких відповідно до законодавства встановлюються диференційовано (в залежності від складності завдань, результатів служби тощо), враховуються у середніх розмірах у відповідних місяцях відносно визначених законодавством таких виплат для відповідних посад.</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lastRenderedPageBreak/>
        <w:t>Розрахунок грошового забезпечення здійснюється щомісячно відповідно до законодавства, яке діяло на період проведення розрахунку.</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sz w:val="24"/>
          <w:szCs w:val="24"/>
          <w:lang w:val="uk-UA" w:eastAsia="ru-RU"/>
        </w:rPr>
        <w:t>4. Відсутність первинних документів про нарахування грошового забезпечення та про сплачені страхові внески, а також час та причини, що призвели до знищення таких документів, знаходження первинних документів про нарахування грошового забезпечення та про сплачені страхові внески на тимчасово окупованих територіях підтверджується військовою частиною чи органом, який виплачує (виплачував) грошове забезпечення (у разі ліквідації (припинення діяльності) військової частини чи органу, який виплачує (виплачував) грошове забезпечення - їх правонаступниками або органами, які уповноважені рішеннями керівників державних органів).</w:t>
      </w:r>
    </w:p>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5233"/>
        <w:gridCol w:w="5233"/>
      </w:tblGrid>
      <w:tr w:rsidR="00775944" w:rsidRPr="00775944" w:rsidTr="00775944">
        <w:trPr>
          <w:tblCellSpacing w:w="22" w:type="dxa"/>
        </w:trPr>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Директор Департаменту</w:t>
            </w:r>
            <w:r w:rsidRPr="00775944">
              <w:rPr>
                <w:rFonts w:ascii="Times New Roman" w:eastAsia="Times New Roman" w:hAnsi="Times New Roman" w:cs="Times New Roman"/>
                <w:b/>
                <w:bCs/>
                <w:sz w:val="24"/>
                <w:szCs w:val="24"/>
                <w:lang w:val="uk-UA" w:eastAsia="ru-RU"/>
              </w:rPr>
              <w:br/>
              <w:t>пенсійного забезпечення</w:t>
            </w:r>
          </w:p>
        </w:tc>
        <w:tc>
          <w:tcPr>
            <w:tcW w:w="2500" w:type="pct"/>
            <w:vAlign w:val="bottom"/>
            <w:hideMark/>
          </w:tcPr>
          <w:p w:rsidR="00775944" w:rsidRPr="00775944" w:rsidRDefault="00775944" w:rsidP="00775944">
            <w:pPr>
              <w:spacing w:before="100" w:beforeAutospacing="1" w:after="100" w:afterAutospacing="1" w:line="240" w:lineRule="auto"/>
              <w:rPr>
                <w:rFonts w:ascii="Times New Roman" w:eastAsia="Times New Roman" w:hAnsi="Times New Roman" w:cs="Times New Roman"/>
                <w:sz w:val="24"/>
                <w:szCs w:val="24"/>
                <w:lang w:val="uk-UA" w:eastAsia="ru-RU"/>
              </w:rPr>
            </w:pPr>
            <w:r w:rsidRPr="00775944">
              <w:rPr>
                <w:rFonts w:ascii="Times New Roman" w:eastAsia="Times New Roman" w:hAnsi="Times New Roman" w:cs="Times New Roman"/>
                <w:b/>
                <w:bCs/>
                <w:sz w:val="24"/>
                <w:szCs w:val="24"/>
                <w:lang w:val="uk-UA" w:eastAsia="ru-RU"/>
              </w:rPr>
              <w:t>Олена ОХРІМЕНКО</w:t>
            </w:r>
          </w:p>
        </w:tc>
      </w:tr>
    </w:tbl>
    <w:p w:rsidR="00066F0A" w:rsidRPr="00775944" w:rsidRDefault="00066F0A">
      <w:pPr>
        <w:rPr>
          <w:lang w:val="uk-UA"/>
        </w:rPr>
      </w:pPr>
    </w:p>
    <w:sectPr w:rsidR="00066F0A" w:rsidRPr="00775944" w:rsidSect="007759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44"/>
    <w:rsid w:val="00066F0A"/>
    <w:rsid w:val="00775944"/>
    <w:rsid w:val="00782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C269A-7DCB-413C-8DF7-240987E8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759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59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59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5944"/>
    <w:rPr>
      <w:rFonts w:ascii="Times New Roman" w:eastAsia="Times New Roman" w:hAnsi="Times New Roman" w:cs="Times New Roman"/>
      <w:b/>
      <w:bCs/>
      <w:sz w:val="27"/>
      <w:szCs w:val="27"/>
      <w:lang w:eastAsia="ru-RU"/>
    </w:rPr>
  </w:style>
  <w:style w:type="paragraph" w:customStyle="1" w:styleId="tc">
    <w:name w:val="tc"/>
    <w:basedOn w:val="a"/>
    <w:rsid w:val="00775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775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rd-blue-color">
    <w:name w:val="hard-blue-color"/>
    <w:basedOn w:val="a0"/>
    <w:rsid w:val="00775944"/>
  </w:style>
  <w:style w:type="paragraph" w:customStyle="1" w:styleId="tl">
    <w:name w:val="tl"/>
    <w:basedOn w:val="a"/>
    <w:rsid w:val="00775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775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657267">
      <w:bodyDiv w:val="1"/>
      <w:marLeft w:val="0"/>
      <w:marRight w:val="0"/>
      <w:marTop w:val="0"/>
      <w:marBottom w:val="0"/>
      <w:divBdr>
        <w:top w:val="none" w:sz="0" w:space="0" w:color="auto"/>
        <w:left w:val="none" w:sz="0" w:space="0" w:color="auto"/>
        <w:bottom w:val="none" w:sz="0" w:space="0" w:color="auto"/>
        <w:right w:val="none" w:sz="0" w:space="0" w:color="auto"/>
      </w:divBdr>
      <w:divsChild>
        <w:div w:id="1402366902">
          <w:marLeft w:val="0"/>
          <w:marRight w:val="0"/>
          <w:marTop w:val="0"/>
          <w:marBottom w:val="0"/>
          <w:divBdr>
            <w:top w:val="none" w:sz="0" w:space="0" w:color="auto"/>
            <w:left w:val="none" w:sz="0" w:space="0" w:color="auto"/>
            <w:bottom w:val="none" w:sz="0" w:space="0" w:color="auto"/>
            <w:right w:val="none" w:sz="0" w:space="0" w:color="auto"/>
          </w:divBdr>
        </w:div>
        <w:div w:id="1255745489">
          <w:marLeft w:val="0"/>
          <w:marRight w:val="0"/>
          <w:marTop w:val="0"/>
          <w:marBottom w:val="0"/>
          <w:divBdr>
            <w:top w:val="none" w:sz="0" w:space="0" w:color="auto"/>
            <w:left w:val="none" w:sz="0" w:space="0" w:color="auto"/>
            <w:bottom w:val="none" w:sz="0" w:space="0" w:color="auto"/>
            <w:right w:val="none" w:sz="0" w:space="0" w:color="auto"/>
          </w:divBdr>
        </w:div>
        <w:div w:id="198057149">
          <w:marLeft w:val="0"/>
          <w:marRight w:val="0"/>
          <w:marTop w:val="0"/>
          <w:marBottom w:val="0"/>
          <w:divBdr>
            <w:top w:val="none" w:sz="0" w:space="0" w:color="auto"/>
            <w:left w:val="none" w:sz="0" w:space="0" w:color="auto"/>
            <w:bottom w:val="none" w:sz="0" w:space="0" w:color="auto"/>
            <w:right w:val="none" w:sz="0" w:space="0" w:color="auto"/>
          </w:divBdr>
        </w:div>
        <w:div w:id="71438461">
          <w:marLeft w:val="0"/>
          <w:marRight w:val="0"/>
          <w:marTop w:val="0"/>
          <w:marBottom w:val="0"/>
          <w:divBdr>
            <w:top w:val="none" w:sz="0" w:space="0" w:color="auto"/>
            <w:left w:val="none" w:sz="0" w:space="0" w:color="auto"/>
            <w:bottom w:val="none" w:sz="0" w:space="0" w:color="auto"/>
            <w:right w:val="none" w:sz="0" w:space="0" w:color="auto"/>
          </w:divBdr>
        </w:div>
        <w:div w:id="615478906">
          <w:marLeft w:val="0"/>
          <w:marRight w:val="0"/>
          <w:marTop w:val="0"/>
          <w:marBottom w:val="0"/>
          <w:divBdr>
            <w:top w:val="none" w:sz="0" w:space="0" w:color="auto"/>
            <w:left w:val="none" w:sz="0" w:space="0" w:color="auto"/>
            <w:bottom w:val="none" w:sz="0" w:space="0" w:color="auto"/>
            <w:right w:val="none" w:sz="0" w:space="0" w:color="auto"/>
          </w:divBdr>
        </w:div>
        <w:div w:id="1461919765">
          <w:marLeft w:val="0"/>
          <w:marRight w:val="0"/>
          <w:marTop w:val="0"/>
          <w:marBottom w:val="0"/>
          <w:divBdr>
            <w:top w:val="none" w:sz="0" w:space="0" w:color="auto"/>
            <w:left w:val="none" w:sz="0" w:space="0" w:color="auto"/>
            <w:bottom w:val="none" w:sz="0" w:space="0" w:color="auto"/>
            <w:right w:val="none" w:sz="0" w:space="0" w:color="auto"/>
          </w:divBdr>
        </w:div>
        <w:div w:id="1247694549">
          <w:marLeft w:val="0"/>
          <w:marRight w:val="0"/>
          <w:marTop w:val="0"/>
          <w:marBottom w:val="0"/>
          <w:divBdr>
            <w:top w:val="none" w:sz="0" w:space="0" w:color="auto"/>
            <w:left w:val="none" w:sz="0" w:space="0" w:color="auto"/>
            <w:bottom w:val="none" w:sz="0" w:space="0" w:color="auto"/>
            <w:right w:val="none" w:sz="0" w:space="0" w:color="auto"/>
          </w:divBdr>
        </w:div>
        <w:div w:id="1512179906">
          <w:marLeft w:val="0"/>
          <w:marRight w:val="0"/>
          <w:marTop w:val="0"/>
          <w:marBottom w:val="0"/>
          <w:divBdr>
            <w:top w:val="none" w:sz="0" w:space="0" w:color="auto"/>
            <w:left w:val="none" w:sz="0" w:space="0" w:color="auto"/>
            <w:bottom w:val="none" w:sz="0" w:space="0" w:color="auto"/>
            <w:right w:val="none" w:sz="0" w:space="0" w:color="auto"/>
          </w:divBdr>
        </w:div>
        <w:div w:id="221142862">
          <w:marLeft w:val="0"/>
          <w:marRight w:val="0"/>
          <w:marTop w:val="0"/>
          <w:marBottom w:val="0"/>
          <w:divBdr>
            <w:top w:val="none" w:sz="0" w:space="0" w:color="auto"/>
            <w:left w:val="none" w:sz="0" w:space="0" w:color="auto"/>
            <w:bottom w:val="none" w:sz="0" w:space="0" w:color="auto"/>
            <w:right w:val="none" w:sz="0" w:space="0" w:color="auto"/>
          </w:divBdr>
        </w:div>
        <w:div w:id="1286618884">
          <w:marLeft w:val="0"/>
          <w:marRight w:val="0"/>
          <w:marTop w:val="0"/>
          <w:marBottom w:val="0"/>
          <w:divBdr>
            <w:top w:val="none" w:sz="0" w:space="0" w:color="auto"/>
            <w:left w:val="none" w:sz="0" w:space="0" w:color="auto"/>
            <w:bottom w:val="none" w:sz="0" w:space="0" w:color="auto"/>
            <w:right w:val="none" w:sz="0" w:space="0" w:color="auto"/>
          </w:divBdr>
        </w:div>
        <w:div w:id="391081283">
          <w:marLeft w:val="0"/>
          <w:marRight w:val="0"/>
          <w:marTop w:val="0"/>
          <w:marBottom w:val="0"/>
          <w:divBdr>
            <w:top w:val="none" w:sz="0" w:space="0" w:color="auto"/>
            <w:left w:val="none" w:sz="0" w:space="0" w:color="auto"/>
            <w:bottom w:val="none" w:sz="0" w:space="0" w:color="auto"/>
            <w:right w:val="none" w:sz="0" w:space="0" w:color="auto"/>
          </w:divBdr>
        </w:div>
        <w:div w:id="1416633830">
          <w:marLeft w:val="0"/>
          <w:marRight w:val="0"/>
          <w:marTop w:val="0"/>
          <w:marBottom w:val="0"/>
          <w:divBdr>
            <w:top w:val="none" w:sz="0" w:space="0" w:color="auto"/>
            <w:left w:val="none" w:sz="0" w:space="0" w:color="auto"/>
            <w:bottom w:val="none" w:sz="0" w:space="0" w:color="auto"/>
            <w:right w:val="none" w:sz="0" w:space="0" w:color="auto"/>
          </w:divBdr>
        </w:div>
        <w:div w:id="163012462">
          <w:marLeft w:val="0"/>
          <w:marRight w:val="0"/>
          <w:marTop w:val="0"/>
          <w:marBottom w:val="0"/>
          <w:divBdr>
            <w:top w:val="none" w:sz="0" w:space="0" w:color="auto"/>
            <w:left w:val="none" w:sz="0" w:space="0" w:color="auto"/>
            <w:bottom w:val="none" w:sz="0" w:space="0" w:color="auto"/>
            <w:right w:val="none" w:sz="0" w:space="0" w:color="auto"/>
          </w:divBdr>
        </w:div>
        <w:div w:id="1285427133">
          <w:marLeft w:val="0"/>
          <w:marRight w:val="0"/>
          <w:marTop w:val="0"/>
          <w:marBottom w:val="0"/>
          <w:divBdr>
            <w:top w:val="none" w:sz="0" w:space="0" w:color="auto"/>
            <w:left w:val="none" w:sz="0" w:space="0" w:color="auto"/>
            <w:bottom w:val="none" w:sz="0" w:space="0" w:color="auto"/>
            <w:right w:val="none" w:sz="0" w:space="0" w:color="auto"/>
          </w:divBdr>
        </w:div>
        <w:div w:id="1413312769">
          <w:marLeft w:val="0"/>
          <w:marRight w:val="0"/>
          <w:marTop w:val="0"/>
          <w:marBottom w:val="0"/>
          <w:divBdr>
            <w:top w:val="none" w:sz="0" w:space="0" w:color="auto"/>
            <w:left w:val="none" w:sz="0" w:space="0" w:color="auto"/>
            <w:bottom w:val="none" w:sz="0" w:space="0" w:color="auto"/>
            <w:right w:val="none" w:sz="0" w:space="0" w:color="auto"/>
          </w:divBdr>
        </w:div>
        <w:div w:id="1817842666">
          <w:marLeft w:val="0"/>
          <w:marRight w:val="0"/>
          <w:marTop w:val="0"/>
          <w:marBottom w:val="0"/>
          <w:divBdr>
            <w:top w:val="none" w:sz="0" w:space="0" w:color="auto"/>
            <w:left w:val="none" w:sz="0" w:space="0" w:color="auto"/>
            <w:bottom w:val="none" w:sz="0" w:space="0" w:color="auto"/>
            <w:right w:val="none" w:sz="0" w:space="0" w:color="auto"/>
          </w:divBdr>
        </w:div>
        <w:div w:id="2123647987">
          <w:marLeft w:val="0"/>
          <w:marRight w:val="0"/>
          <w:marTop w:val="0"/>
          <w:marBottom w:val="0"/>
          <w:divBdr>
            <w:top w:val="none" w:sz="0" w:space="0" w:color="auto"/>
            <w:left w:val="none" w:sz="0" w:space="0" w:color="auto"/>
            <w:bottom w:val="none" w:sz="0" w:space="0" w:color="auto"/>
            <w:right w:val="none" w:sz="0" w:space="0" w:color="auto"/>
          </w:divBdr>
          <w:divsChild>
            <w:div w:id="735666823">
              <w:marLeft w:val="0"/>
              <w:marRight w:val="0"/>
              <w:marTop w:val="0"/>
              <w:marBottom w:val="0"/>
              <w:divBdr>
                <w:top w:val="none" w:sz="0" w:space="0" w:color="auto"/>
                <w:left w:val="none" w:sz="0" w:space="0" w:color="auto"/>
                <w:bottom w:val="none" w:sz="0" w:space="0" w:color="auto"/>
                <w:right w:val="none" w:sz="0" w:space="0" w:color="auto"/>
              </w:divBdr>
            </w:div>
          </w:divsChild>
        </w:div>
        <w:div w:id="1385566277">
          <w:marLeft w:val="0"/>
          <w:marRight w:val="0"/>
          <w:marTop w:val="0"/>
          <w:marBottom w:val="0"/>
          <w:divBdr>
            <w:top w:val="none" w:sz="0" w:space="0" w:color="auto"/>
            <w:left w:val="none" w:sz="0" w:space="0" w:color="auto"/>
            <w:bottom w:val="none" w:sz="0" w:space="0" w:color="auto"/>
            <w:right w:val="none" w:sz="0" w:space="0" w:color="auto"/>
          </w:divBdr>
        </w:div>
        <w:div w:id="1435049984">
          <w:marLeft w:val="0"/>
          <w:marRight w:val="0"/>
          <w:marTop w:val="0"/>
          <w:marBottom w:val="0"/>
          <w:divBdr>
            <w:top w:val="none" w:sz="0" w:space="0" w:color="auto"/>
            <w:left w:val="none" w:sz="0" w:space="0" w:color="auto"/>
            <w:bottom w:val="none" w:sz="0" w:space="0" w:color="auto"/>
            <w:right w:val="none" w:sz="0" w:space="0" w:color="auto"/>
          </w:divBdr>
          <w:divsChild>
            <w:div w:id="1608275833">
              <w:marLeft w:val="0"/>
              <w:marRight w:val="0"/>
              <w:marTop w:val="0"/>
              <w:marBottom w:val="0"/>
              <w:divBdr>
                <w:top w:val="none" w:sz="0" w:space="0" w:color="auto"/>
                <w:left w:val="none" w:sz="0" w:space="0" w:color="auto"/>
                <w:bottom w:val="none" w:sz="0" w:space="0" w:color="auto"/>
                <w:right w:val="none" w:sz="0" w:space="0" w:color="auto"/>
              </w:divBdr>
            </w:div>
          </w:divsChild>
        </w:div>
        <w:div w:id="822429346">
          <w:marLeft w:val="0"/>
          <w:marRight w:val="0"/>
          <w:marTop w:val="0"/>
          <w:marBottom w:val="0"/>
          <w:divBdr>
            <w:top w:val="none" w:sz="0" w:space="0" w:color="auto"/>
            <w:left w:val="none" w:sz="0" w:space="0" w:color="auto"/>
            <w:bottom w:val="none" w:sz="0" w:space="0" w:color="auto"/>
            <w:right w:val="none" w:sz="0" w:space="0" w:color="auto"/>
          </w:divBdr>
          <w:divsChild>
            <w:div w:id="1465389112">
              <w:marLeft w:val="0"/>
              <w:marRight w:val="0"/>
              <w:marTop w:val="0"/>
              <w:marBottom w:val="0"/>
              <w:divBdr>
                <w:top w:val="none" w:sz="0" w:space="0" w:color="auto"/>
                <w:left w:val="none" w:sz="0" w:space="0" w:color="auto"/>
                <w:bottom w:val="none" w:sz="0" w:space="0" w:color="auto"/>
                <w:right w:val="none" w:sz="0" w:space="0" w:color="auto"/>
              </w:divBdr>
            </w:div>
          </w:divsChild>
        </w:div>
        <w:div w:id="1356930316">
          <w:marLeft w:val="0"/>
          <w:marRight w:val="0"/>
          <w:marTop w:val="0"/>
          <w:marBottom w:val="0"/>
          <w:divBdr>
            <w:top w:val="none" w:sz="0" w:space="0" w:color="auto"/>
            <w:left w:val="none" w:sz="0" w:space="0" w:color="auto"/>
            <w:bottom w:val="none" w:sz="0" w:space="0" w:color="auto"/>
            <w:right w:val="none" w:sz="0" w:space="0" w:color="auto"/>
          </w:divBdr>
          <w:divsChild>
            <w:div w:id="669605580">
              <w:marLeft w:val="0"/>
              <w:marRight w:val="0"/>
              <w:marTop w:val="0"/>
              <w:marBottom w:val="0"/>
              <w:divBdr>
                <w:top w:val="none" w:sz="0" w:space="0" w:color="auto"/>
                <w:left w:val="none" w:sz="0" w:space="0" w:color="auto"/>
                <w:bottom w:val="none" w:sz="0" w:space="0" w:color="auto"/>
                <w:right w:val="none" w:sz="0" w:space="0" w:color="auto"/>
              </w:divBdr>
            </w:div>
          </w:divsChild>
        </w:div>
        <w:div w:id="1627201766">
          <w:marLeft w:val="0"/>
          <w:marRight w:val="0"/>
          <w:marTop w:val="0"/>
          <w:marBottom w:val="0"/>
          <w:divBdr>
            <w:top w:val="none" w:sz="0" w:space="0" w:color="auto"/>
            <w:left w:val="none" w:sz="0" w:space="0" w:color="auto"/>
            <w:bottom w:val="none" w:sz="0" w:space="0" w:color="auto"/>
            <w:right w:val="none" w:sz="0" w:space="0" w:color="auto"/>
          </w:divBdr>
        </w:div>
        <w:div w:id="1342658216">
          <w:marLeft w:val="0"/>
          <w:marRight w:val="0"/>
          <w:marTop w:val="0"/>
          <w:marBottom w:val="0"/>
          <w:divBdr>
            <w:top w:val="none" w:sz="0" w:space="0" w:color="auto"/>
            <w:left w:val="none" w:sz="0" w:space="0" w:color="auto"/>
            <w:bottom w:val="none" w:sz="0" w:space="0" w:color="auto"/>
            <w:right w:val="none" w:sz="0" w:space="0" w:color="auto"/>
          </w:divBdr>
        </w:div>
        <w:div w:id="2135980918">
          <w:marLeft w:val="0"/>
          <w:marRight w:val="0"/>
          <w:marTop w:val="0"/>
          <w:marBottom w:val="0"/>
          <w:divBdr>
            <w:top w:val="none" w:sz="0" w:space="0" w:color="auto"/>
            <w:left w:val="none" w:sz="0" w:space="0" w:color="auto"/>
            <w:bottom w:val="none" w:sz="0" w:space="0" w:color="auto"/>
            <w:right w:val="none" w:sz="0" w:space="0" w:color="auto"/>
          </w:divBdr>
        </w:div>
        <w:div w:id="439566771">
          <w:marLeft w:val="0"/>
          <w:marRight w:val="0"/>
          <w:marTop w:val="0"/>
          <w:marBottom w:val="0"/>
          <w:divBdr>
            <w:top w:val="none" w:sz="0" w:space="0" w:color="auto"/>
            <w:left w:val="none" w:sz="0" w:space="0" w:color="auto"/>
            <w:bottom w:val="none" w:sz="0" w:space="0" w:color="auto"/>
            <w:right w:val="none" w:sz="0" w:space="0" w:color="auto"/>
          </w:divBdr>
        </w:div>
        <w:div w:id="126511819">
          <w:marLeft w:val="0"/>
          <w:marRight w:val="0"/>
          <w:marTop w:val="0"/>
          <w:marBottom w:val="0"/>
          <w:divBdr>
            <w:top w:val="none" w:sz="0" w:space="0" w:color="auto"/>
            <w:left w:val="none" w:sz="0" w:space="0" w:color="auto"/>
            <w:bottom w:val="none" w:sz="0" w:space="0" w:color="auto"/>
            <w:right w:val="none" w:sz="0" w:space="0" w:color="auto"/>
          </w:divBdr>
        </w:div>
        <w:div w:id="129828384">
          <w:marLeft w:val="0"/>
          <w:marRight w:val="0"/>
          <w:marTop w:val="0"/>
          <w:marBottom w:val="0"/>
          <w:divBdr>
            <w:top w:val="none" w:sz="0" w:space="0" w:color="auto"/>
            <w:left w:val="none" w:sz="0" w:space="0" w:color="auto"/>
            <w:bottom w:val="none" w:sz="0" w:space="0" w:color="auto"/>
            <w:right w:val="none" w:sz="0" w:space="0" w:color="auto"/>
          </w:divBdr>
        </w:div>
        <w:div w:id="1933856290">
          <w:marLeft w:val="0"/>
          <w:marRight w:val="0"/>
          <w:marTop w:val="0"/>
          <w:marBottom w:val="0"/>
          <w:divBdr>
            <w:top w:val="none" w:sz="0" w:space="0" w:color="auto"/>
            <w:left w:val="none" w:sz="0" w:space="0" w:color="auto"/>
            <w:bottom w:val="none" w:sz="0" w:space="0" w:color="auto"/>
            <w:right w:val="none" w:sz="0" w:space="0" w:color="auto"/>
          </w:divBdr>
        </w:div>
        <w:div w:id="482241468">
          <w:marLeft w:val="0"/>
          <w:marRight w:val="0"/>
          <w:marTop w:val="0"/>
          <w:marBottom w:val="0"/>
          <w:divBdr>
            <w:top w:val="none" w:sz="0" w:space="0" w:color="auto"/>
            <w:left w:val="none" w:sz="0" w:space="0" w:color="auto"/>
            <w:bottom w:val="none" w:sz="0" w:space="0" w:color="auto"/>
            <w:right w:val="none" w:sz="0" w:space="0" w:color="auto"/>
          </w:divBdr>
        </w:div>
        <w:div w:id="640616718">
          <w:marLeft w:val="0"/>
          <w:marRight w:val="0"/>
          <w:marTop w:val="0"/>
          <w:marBottom w:val="0"/>
          <w:divBdr>
            <w:top w:val="none" w:sz="0" w:space="0" w:color="auto"/>
            <w:left w:val="none" w:sz="0" w:space="0" w:color="auto"/>
            <w:bottom w:val="none" w:sz="0" w:space="0" w:color="auto"/>
            <w:right w:val="none" w:sz="0" w:space="0" w:color="auto"/>
          </w:divBdr>
        </w:div>
        <w:div w:id="1815637423">
          <w:marLeft w:val="0"/>
          <w:marRight w:val="0"/>
          <w:marTop w:val="0"/>
          <w:marBottom w:val="0"/>
          <w:divBdr>
            <w:top w:val="none" w:sz="0" w:space="0" w:color="auto"/>
            <w:left w:val="none" w:sz="0" w:space="0" w:color="auto"/>
            <w:bottom w:val="none" w:sz="0" w:space="0" w:color="auto"/>
            <w:right w:val="none" w:sz="0" w:space="0" w:color="auto"/>
          </w:divBdr>
        </w:div>
        <w:div w:id="233469490">
          <w:marLeft w:val="0"/>
          <w:marRight w:val="0"/>
          <w:marTop w:val="0"/>
          <w:marBottom w:val="0"/>
          <w:divBdr>
            <w:top w:val="none" w:sz="0" w:space="0" w:color="auto"/>
            <w:left w:val="none" w:sz="0" w:space="0" w:color="auto"/>
            <w:bottom w:val="none" w:sz="0" w:space="0" w:color="auto"/>
            <w:right w:val="none" w:sz="0" w:space="0" w:color="auto"/>
          </w:divBdr>
        </w:div>
        <w:div w:id="2009596993">
          <w:marLeft w:val="0"/>
          <w:marRight w:val="0"/>
          <w:marTop w:val="0"/>
          <w:marBottom w:val="0"/>
          <w:divBdr>
            <w:top w:val="none" w:sz="0" w:space="0" w:color="auto"/>
            <w:left w:val="none" w:sz="0" w:space="0" w:color="auto"/>
            <w:bottom w:val="none" w:sz="0" w:space="0" w:color="auto"/>
            <w:right w:val="none" w:sz="0" w:space="0" w:color="auto"/>
          </w:divBdr>
        </w:div>
        <w:div w:id="841748800">
          <w:marLeft w:val="0"/>
          <w:marRight w:val="0"/>
          <w:marTop w:val="0"/>
          <w:marBottom w:val="0"/>
          <w:divBdr>
            <w:top w:val="none" w:sz="0" w:space="0" w:color="auto"/>
            <w:left w:val="none" w:sz="0" w:space="0" w:color="auto"/>
            <w:bottom w:val="none" w:sz="0" w:space="0" w:color="auto"/>
            <w:right w:val="none" w:sz="0" w:space="0" w:color="auto"/>
          </w:divBdr>
        </w:div>
        <w:div w:id="1575622754">
          <w:marLeft w:val="0"/>
          <w:marRight w:val="0"/>
          <w:marTop w:val="0"/>
          <w:marBottom w:val="0"/>
          <w:divBdr>
            <w:top w:val="none" w:sz="0" w:space="0" w:color="auto"/>
            <w:left w:val="none" w:sz="0" w:space="0" w:color="auto"/>
            <w:bottom w:val="none" w:sz="0" w:space="0" w:color="auto"/>
            <w:right w:val="none" w:sz="0" w:space="0" w:color="auto"/>
          </w:divBdr>
        </w:div>
        <w:div w:id="1871381166">
          <w:marLeft w:val="0"/>
          <w:marRight w:val="0"/>
          <w:marTop w:val="0"/>
          <w:marBottom w:val="0"/>
          <w:divBdr>
            <w:top w:val="none" w:sz="0" w:space="0" w:color="auto"/>
            <w:left w:val="none" w:sz="0" w:space="0" w:color="auto"/>
            <w:bottom w:val="none" w:sz="0" w:space="0" w:color="auto"/>
            <w:right w:val="none" w:sz="0" w:space="0" w:color="auto"/>
          </w:divBdr>
        </w:div>
        <w:div w:id="1618222681">
          <w:marLeft w:val="0"/>
          <w:marRight w:val="0"/>
          <w:marTop w:val="0"/>
          <w:marBottom w:val="0"/>
          <w:divBdr>
            <w:top w:val="none" w:sz="0" w:space="0" w:color="auto"/>
            <w:left w:val="none" w:sz="0" w:space="0" w:color="auto"/>
            <w:bottom w:val="none" w:sz="0" w:space="0" w:color="auto"/>
            <w:right w:val="none" w:sz="0" w:space="0" w:color="auto"/>
          </w:divBdr>
        </w:div>
        <w:div w:id="1431312520">
          <w:marLeft w:val="0"/>
          <w:marRight w:val="0"/>
          <w:marTop w:val="0"/>
          <w:marBottom w:val="0"/>
          <w:divBdr>
            <w:top w:val="none" w:sz="0" w:space="0" w:color="auto"/>
            <w:left w:val="none" w:sz="0" w:space="0" w:color="auto"/>
            <w:bottom w:val="none" w:sz="0" w:space="0" w:color="auto"/>
            <w:right w:val="none" w:sz="0" w:space="0" w:color="auto"/>
          </w:divBdr>
        </w:div>
        <w:div w:id="462969239">
          <w:marLeft w:val="0"/>
          <w:marRight w:val="0"/>
          <w:marTop w:val="0"/>
          <w:marBottom w:val="0"/>
          <w:divBdr>
            <w:top w:val="none" w:sz="0" w:space="0" w:color="auto"/>
            <w:left w:val="none" w:sz="0" w:space="0" w:color="auto"/>
            <w:bottom w:val="none" w:sz="0" w:space="0" w:color="auto"/>
            <w:right w:val="none" w:sz="0" w:space="0" w:color="auto"/>
          </w:divBdr>
        </w:div>
        <w:div w:id="210925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ips.ligazakon.net/document/view/kp140280?ed=2020_12_16&amp;an=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1433</Words>
  <Characters>8170</Characters>
  <Application>Microsoft Office Word</Application>
  <DocSecurity>0</DocSecurity>
  <Lines>68</Lines>
  <Paragraphs>19</Paragraphs>
  <ScaleCrop>false</ScaleCrop>
  <Company>SPecialiST RePack</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2021-04-14T14:46:00Z</dcterms:created>
  <dcterms:modified xsi:type="dcterms:W3CDTF">2021-04-14T14:48:00Z</dcterms:modified>
</cp:coreProperties>
</file>