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51" w:rsidRPr="000F2851" w:rsidRDefault="000F2851" w:rsidP="000F2851">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0F2851">
        <w:rPr>
          <w:rFonts w:ascii="Times New Roman" w:eastAsia="Times New Roman" w:hAnsi="Times New Roman" w:cs="Times New Roman"/>
          <w:b/>
          <w:bCs/>
          <w:sz w:val="24"/>
          <w:szCs w:val="24"/>
          <w:lang w:val="uk-UA" w:eastAsia="ru-RU"/>
        </w:rPr>
        <w:t>МІНІСТЕРСТВО ФІНАНСІВ УКРАЇНИ</w:t>
      </w:r>
    </w:p>
    <w:p w:rsidR="000F2851" w:rsidRPr="000F2851" w:rsidRDefault="000F2851" w:rsidP="000F2851">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0F2851">
        <w:rPr>
          <w:rFonts w:ascii="Times New Roman" w:eastAsia="Times New Roman" w:hAnsi="Times New Roman" w:cs="Times New Roman"/>
          <w:b/>
          <w:sz w:val="24"/>
          <w:szCs w:val="24"/>
          <w:lang w:val="uk-UA" w:eastAsia="ru-RU"/>
        </w:rPr>
        <w:t>НАКАЗ</w:t>
      </w:r>
    </w:p>
    <w:p w:rsidR="000F2851" w:rsidRPr="000F2851" w:rsidRDefault="000F2851" w:rsidP="000F2851">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0F2851">
        <w:rPr>
          <w:rFonts w:ascii="Times New Roman" w:eastAsia="Times New Roman" w:hAnsi="Times New Roman" w:cs="Times New Roman"/>
          <w:b/>
          <w:bCs/>
          <w:sz w:val="24"/>
          <w:szCs w:val="24"/>
          <w:lang w:val="uk-UA" w:eastAsia="ru-RU"/>
        </w:rPr>
        <w:t>від 21.08.2023 р. № 494/446</w:t>
      </w:r>
    </w:p>
    <w:p w:rsidR="000F2851" w:rsidRPr="000F2851" w:rsidRDefault="000F2851" w:rsidP="000F285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Зареєстровано в Міністерстві юстиції України</w:t>
      </w:r>
      <w:r w:rsidRPr="000F2851">
        <w:rPr>
          <w:rFonts w:ascii="Times New Roman" w:eastAsia="Times New Roman" w:hAnsi="Times New Roman" w:cs="Times New Roman"/>
          <w:sz w:val="24"/>
          <w:szCs w:val="24"/>
          <w:lang w:val="uk-UA" w:eastAsia="ru-RU"/>
        </w:rPr>
        <w:br/>
        <w:t>05 вересня 2023 р. за № 1564/40620</w:t>
      </w:r>
    </w:p>
    <w:p w:rsidR="000F2851" w:rsidRPr="000F2851" w:rsidRDefault="000F2851" w:rsidP="000F2851">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r w:rsidRPr="000F2851">
        <w:rPr>
          <w:rFonts w:ascii="Times New Roman" w:eastAsia="Times New Roman" w:hAnsi="Times New Roman" w:cs="Times New Roman"/>
          <w:b/>
          <w:bCs/>
          <w:sz w:val="36"/>
          <w:szCs w:val="36"/>
          <w:lang w:val="uk-UA" w:eastAsia="ru-RU"/>
        </w:rPr>
        <w:t>Про затвердження Порядку електронної інформаційної взаємодії Єдиного державного реєстру призовників, військовозобов’язаних та резервістів і Державного реєстру фізичних осіб – платників податків</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Відповідно до статті 14 Закону України “Про Єдиний державний реєстр призовників, військовозобов’язаних та резервістів”, Закону України “Про захист персональних даних”, пунктів 7, 8 Положення про Міністерство оборони України, затвердженого постановою Кабінету Міністрів України від 26 листопада 2014 року № 671 (у редакції постанови Кабінету Міністрів України від 19 жовтня 2016 року № 730), підпункту 5 пункту 4 Положення про Міністерство фінансів України, затвердженого постановою Кабінету Міністрів України від 20 серпня 2014 року № 375,</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b/>
          <w:bCs/>
          <w:sz w:val="24"/>
          <w:szCs w:val="24"/>
          <w:lang w:val="uk-UA" w:eastAsia="ru-RU"/>
        </w:rPr>
        <w:t>НАКАЗУЄМО:</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1. Затвердити Порядок електронної інформаційної взаємодії Єдиного державного реєстру призовників, військовозобов’язаних та резервістів і Державного реєстру фізичних осіб – платників податків, що додається.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2. Міністерству оборони України та Державній податковій службі України перед початком обміну даними згідно з Порядком, затвердженим пунктом 1 цього наказу, здійснити проведення разової верифікації даних про осіб, що містяться в Єдиному державному реєстрі призовників, військовозобов’язаних та резервістів, з даними, що містяться в Державному реєстрі фізичних осіб – платників податків.</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3. Державній податковій службі України протягом 90 днів з дати отримання даних про осіб, що містяться в Єдиному державному реєстрі призовників, військовозобов’язаних та резервістів, надати Міністерству оборони України: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у разі встановлення тотожності даних про особу за результатами проведеної верифікації даних – відомості, зазначені у пунктах 12, 13 частини першої статті 7 Закону України “Про Єдиний державний реєстр призовників, військовозобов’язаних та резервістів”;</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відомості, зазначені в пункті 13 частини першої статті 7 Закону України “Про Єдиний державний реєстр призовників, військовозобов’язаних та резервістів” (окрім відомостей, що надаються згідно з абзацом другим цього пункту), з урахуванням вимог частини першої статті 13 цього Закону.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4. Директорату цифрової трансформації у сфері оборони Міністерства оборони України забезпечити подання цього наказу на державну реєстрацію до Міністерства юстиції України в установленому порядку.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lastRenderedPageBreak/>
        <w:t>5. Цей наказ набирає чинності з дня, наступного за днем його офіційного опублікування.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6. Контроль за виконанням цього наказу покласти на заступників міністрів відповідно до розподілу обов’язків та Голову Державної податкової служби України.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b/>
          <w:bCs/>
          <w:i/>
          <w:iCs/>
          <w:sz w:val="24"/>
          <w:szCs w:val="24"/>
          <w:lang w:val="uk-UA" w:eastAsia="ru-RU"/>
        </w:rPr>
        <w:t>Міністр оборони України</w:t>
      </w:r>
      <w:r w:rsidRPr="000F2851">
        <w:rPr>
          <w:rFonts w:ascii="Times New Roman" w:eastAsia="Times New Roman" w:hAnsi="Times New Roman" w:cs="Times New Roman"/>
          <w:b/>
          <w:bCs/>
          <w:i/>
          <w:iCs/>
          <w:sz w:val="24"/>
          <w:szCs w:val="24"/>
          <w:lang w:val="uk-UA" w:eastAsia="ru-RU"/>
        </w:rPr>
        <w:br/>
        <w:t>Олексій РЕЗНІКОВ</w:t>
      </w:r>
      <w:r w:rsidRPr="000F2851">
        <w:rPr>
          <w:rFonts w:ascii="Times New Roman" w:eastAsia="Times New Roman" w:hAnsi="Times New Roman" w:cs="Times New Roman"/>
          <w:b/>
          <w:bCs/>
          <w:i/>
          <w:iCs/>
          <w:sz w:val="24"/>
          <w:szCs w:val="24"/>
          <w:lang w:val="uk-UA" w:eastAsia="ru-RU"/>
        </w:rPr>
        <w:br/>
        <w:t>Міністр фінансів України</w:t>
      </w:r>
      <w:r w:rsidRPr="000F2851">
        <w:rPr>
          <w:rFonts w:ascii="Times New Roman" w:eastAsia="Times New Roman" w:hAnsi="Times New Roman" w:cs="Times New Roman"/>
          <w:b/>
          <w:bCs/>
          <w:i/>
          <w:iCs/>
          <w:sz w:val="24"/>
          <w:szCs w:val="24"/>
          <w:lang w:val="uk-UA" w:eastAsia="ru-RU"/>
        </w:rPr>
        <w:br/>
        <w:t>Сергій МАРЧЕНКО</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b/>
          <w:bCs/>
          <w:i/>
          <w:iCs/>
          <w:sz w:val="24"/>
          <w:szCs w:val="24"/>
          <w:lang w:val="uk-UA" w:eastAsia="ru-RU"/>
        </w:rPr>
        <w:t>ПОГОДЖЕНО:</w:t>
      </w:r>
      <w:r w:rsidRPr="000F2851">
        <w:rPr>
          <w:rFonts w:ascii="Times New Roman" w:eastAsia="Times New Roman" w:hAnsi="Times New Roman" w:cs="Times New Roman"/>
          <w:b/>
          <w:bCs/>
          <w:i/>
          <w:iCs/>
          <w:sz w:val="24"/>
          <w:szCs w:val="24"/>
          <w:lang w:val="uk-UA" w:eastAsia="ru-RU"/>
        </w:rPr>
        <w:br/>
        <w:t>Перший заступник Міністра</w:t>
      </w:r>
      <w:r w:rsidRPr="000F2851">
        <w:rPr>
          <w:rFonts w:ascii="Times New Roman" w:eastAsia="Times New Roman" w:hAnsi="Times New Roman" w:cs="Times New Roman"/>
          <w:b/>
          <w:bCs/>
          <w:i/>
          <w:iCs/>
          <w:sz w:val="24"/>
          <w:szCs w:val="24"/>
          <w:lang w:val="uk-UA" w:eastAsia="ru-RU"/>
        </w:rPr>
        <w:br/>
        <w:t>цифрової трансформації України</w:t>
      </w:r>
      <w:r w:rsidRPr="000F2851">
        <w:rPr>
          <w:rFonts w:ascii="Times New Roman" w:eastAsia="Times New Roman" w:hAnsi="Times New Roman" w:cs="Times New Roman"/>
          <w:b/>
          <w:bCs/>
          <w:i/>
          <w:iCs/>
          <w:sz w:val="24"/>
          <w:szCs w:val="24"/>
          <w:lang w:val="uk-UA" w:eastAsia="ru-RU"/>
        </w:rPr>
        <w:br/>
        <w:t>Олексій ВИСКУБ</w:t>
      </w:r>
      <w:r w:rsidRPr="000F2851">
        <w:rPr>
          <w:rFonts w:ascii="Times New Roman" w:eastAsia="Times New Roman" w:hAnsi="Times New Roman" w:cs="Times New Roman"/>
          <w:b/>
          <w:bCs/>
          <w:i/>
          <w:iCs/>
          <w:sz w:val="24"/>
          <w:szCs w:val="24"/>
          <w:lang w:val="uk-UA" w:eastAsia="ru-RU"/>
        </w:rPr>
        <w:br/>
        <w:t>Заступник Голови Державної</w:t>
      </w:r>
      <w:r w:rsidRPr="000F2851">
        <w:rPr>
          <w:rFonts w:ascii="Times New Roman" w:eastAsia="Times New Roman" w:hAnsi="Times New Roman" w:cs="Times New Roman"/>
          <w:b/>
          <w:bCs/>
          <w:i/>
          <w:iCs/>
          <w:sz w:val="24"/>
          <w:szCs w:val="24"/>
          <w:lang w:val="uk-UA" w:eastAsia="ru-RU"/>
        </w:rPr>
        <w:br/>
        <w:t>служби спеціального зв’язку та</w:t>
      </w:r>
      <w:r w:rsidRPr="000F2851">
        <w:rPr>
          <w:rFonts w:ascii="Times New Roman" w:eastAsia="Times New Roman" w:hAnsi="Times New Roman" w:cs="Times New Roman"/>
          <w:b/>
          <w:bCs/>
          <w:i/>
          <w:iCs/>
          <w:sz w:val="24"/>
          <w:szCs w:val="24"/>
          <w:lang w:val="uk-UA" w:eastAsia="ru-RU"/>
        </w:rPr>
        <w:br/>
        <w:t>захисту інформації України</w:t>
      </w:r>
      <w:r w:rsidRPr="000F2851">
        <w:rPr>
          <w:rFonts w:ascii="Times New Roman" w:eastAsia="Times New Roman" w:hAnsi="Times New Roman" w:cs="Times New Roman"/>
          <w:b/>
          <w:bCs/>
          <w:i/>
          <w:iCs/>
          <w:sz w:val="24"/>
          <w:szCs w:val="24"/>
          <w:lang w:val="uk-UA" w:eastAsia="ru-RU"/>
        </w:rPr>
        <w:br/>
        <w:t>Олександр ПОТІЙ</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ЗАТВЕРДЖЕНО</w:t>
      </w:r>
      <w:r w:rsidRPr="000F2851">
        <w:rPr>
          <w:rFonts w:ascii="Times New Roman" w:eastAsia="Times New Roman" w:hAnsi="Times New Roman" w:cs="Times New Roman"/>
          <w:sz w:val="24"/>
          <w:szCs w:val="24"/>
          <w:lang w:val="uk-UA" w:eastAsia="ru-RU"/>
        </w:rPr>
        <w:br/>
        <w:t>Наказ Міністерства оборони України, Міністерства фінансів України</w:t>
      </w:r>
      <w:r w:rsidRPr="000F2851">
        <w:rPr>
          <w:rFonts w:ascii="Times New Roman" w:eastAsia="Times New Roman" w:hAnsi="Times New Roman" w:cs="Times New Roman"/>
          <w:sz w:val="24"/>
          <w:szCs w:val="24"/>
          <w:lang w:val="uk-UA" w:eastAsia="ru-RU"/>
        </w:rPr>
        <w:br/>
        <w:t>21 серпня 2023 року № 494/446</w:t>
      </w:r>
    </w:p>
    <w:p w:rsidR="000F2851" w:rsidRPr="000F2851" w:rsidRDefault="000F2851" w:rsidP="000F2851">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0F2851">
        <w:rPr>
          <w:rFonts w:ascii="Times New Roman" w:eastAsia="Times New Roman" w:hAnsi="Times New Roman" w:cs="Times New Roman"/>
          <w:b/>
          <w:bCs/>
          <w:sz w:val="27"/>
          <w:szCs w:val="27"/>
          <w:lang w:val="uk-UA" w:eastAsia="ru-RU"/>
        </w:rPr>
        <w:t>Порядок</w:t>
      </w:r>
      <w:r w:rsidRPr="000F2851">
        <w:rPr>
          <w:rFonts w:ascii="Times New Roman" w:eastAsia="Times New Roman" w:hAnsi="Times New Roman" w:cs="Times New Roman"/>
          <w:b/>
          <w:bCs/>
          <w:sz w:val="27"/>
          <w:szCs w:val="27"/>
          <w:lang w:val="uk-UA" w:eastAsia="ru-RU"/>
        </w:rPr>
        <w:br/>
        <w:t>електронної інформаційної взаємодії Єдиного державного реєстру призовників, військовозобов’язаних та резервістів і Державного реєстру фізичних осіб – платників податків</w:t>
      </w:r>
    </w:p>
    <w:p w:rsidR="000F2851" w:rsidRPr="000F2851" w:rsidRDefault="000F2851" w:rsidP="000F2851">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0F2851">
        <w:rPr>
          <w:rFonts w:ascii="Times New Roman" w:eastAsia="Times New Roman" w:hAnsi="Times New Roman" w:cs="Times New Roman"/>
          <w:b/>
          <w:bCs/>
          <w:sz w:val="27"/>
          <w:szCs w:val="27"/>
          <w:lang w:val="uk-UA" w:eastAsia="ru-RU"/>
        </w:rPr>
        <w:t>I. Загальні положення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1. Цей Порядок визначає механізм обміну інформацією між Міноборони та ДПС (далі – суб’єкти інформаційних відносин), загальні правила складання та подання сформованих за допомогою Єдиного державного реєстру призовників, військовозобов’язаних та резервістів (далі – ЄДРПВР) запитів на отримання з Державного реєстру фізичних осіб – платників податків (далі – Державний реєстр) відомостей, необхідних для актуалізації бази даних ЄДРПВР, та формування і надання ДПС відповідей на такі запити.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2. Електронну інформаційну взаємодію відповідно до цього Порядку здійснюють Міноборони як володілець ЄДРПВР, уповноважений орган адміністрування володільця ЄДРПВР, територіальні центри комплектування та соціальної підтримки (далі – органи ведення ЄДРПВР), а також ДПС.</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3. Обсяг відомостей т</w:t>
      </w:r>
      <w:bookmarkStart w:id="0" w:name="_GoBack"/>
      <w:bookmarkEnd w:id="0"/>
      <w:r w:rsidRPr="000F2851">
        <w:rPr>
          <w:rFonts w:ascii="Times New Roman" w:eastAsia="Times New Roman" w:hAnsi="Times New Roman" w:cs="Times New Roman"/>
          <w:sz w:val="24"/>
          <w:szCs w:val="24"/>
          <w:lang w:val="uk-UA" w:eastAsia="ru-RU"/>
        </w:rPr>
        <w:t>а структура даних, що передаються та приймаються шляхом інформаційної взаємодії, визначаються в договорі про інформаційну взаємодію, укладеному згідно з вимогами Порядку електронної (технічної та інформаційної) взаємодії, затвердженого постановою Кабінету Міністрів України від 08 вересня 2016 року № 606 (у редакції постанови Кабінету Міністрів України від 17 січня 2023 року № 38), та/або протоколами, укладеними у встановленому законодавством порядку.</w:t>
      </w:r>
    </w:p>
    <w:p w:rsidR="000F2851" w:rsidRPr="000F2851" w:rsidRDefault="000F2851" w:rsidP="000F2851">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0F2851">
        <w:rPr>
          <w:rFonts w:ascii="Times New Roman" w:eastAsia="Times New Roman" w:hAnsi="Times New Roman" w:cs="Times New Roman"/>
          <w:b/>
          <w:bCs/>
          <w:sz w:val="27"/>
          <w:szCs w:val="27"/>
          <w:lang w:val="uk-UA" w:eastAsia="ru-RU"/>
        </w:rPr>
        <w:t>II. Регламент електронної інформаційної взаємодії</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lastRenderedPageBreak/>
        <w:t>1. Електронна інформаційна взаємодія між суб’єктами інформаційних відносин здійснюється з дотриманням вимог Законів України “Про електронні документи та електронний документообіг”, “Про електронні довірчі послуги”, “Про захист персональних даних”, “Про захист інформації в інформаційно-комунікаційних системах”.</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2. Електронна інформаційна взаємодія здійснюється шляхом обміну визначеним набором даних між електронними інформаційними ресурсами ЄДРПВР та Державного реєстру з використанням інформаційних систем суб’єктів інформаційних відносин засобами системи електронної взаємодії державних електронних інформаційних ресурсів “Трембіта”.</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У разі відсутності технічної можливості передачі даних із використанням інформаційних систем, визначених абзацом першим цього пункту, електронна інформаційна взаємодія суб’єктів інформаційних відносин може здійснюватися з використанням інших інформаційно-комунікаційних систем із застосуванням у них відповідних комплексних систем захисту інформації з підтвердженою відповідністю за результатами державної експертизи в порядку, установленому законодавством.</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3. Міноборони та ДПС забезпечують ведення електронних журналів обліку запитів та відповідей на запити.</w:t>
      </w:r>
    </w:p>
    <w:p w:rsidR="000F2851" w:rsidRPr="000F2851" w:rsidRDefault="000F2851" w:rsidP="000F2851">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0F2851">
        <w:rPr>
          <w:rFonts w:ascii="Times New Roman" w:eastAsia="Times New Roman" w:hAnsi="Times New Roman" w:cs="Times New Roman"/>
          <w:b/>
          <w:bCs/>
          <w:sz w:val="27"/>
          <w:szCs w:val="27"/>
          <w:lang w:val="uk-UA" w:eastAsia="ru-RU"/>
        </w:rPr>
        <w:t>III. Порядок формування запитів та надання відповідей на запити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1. Органи ведення ЄДРПВР за допомогою ЄДРПВР в електронній формі формують та подають до ДПС:</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для отримання відомостей, зазначених у пункті 12 частини першої статті 7 Закону України “Про Єдиний державний реєстр призовників, військовозобов’язаних та резервістів”, запити щодо джерел доходів, отриманих від податкових агентів;</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для отримання відомостей, зазначених у пункті 13 частини першої статті 7 Закону України “Про Єдиний державний реєстр призовників, військовозобов’язаних та резервістів” – запити щодо реєстрації фізичної особи в Державному реєстрі або підтвердження відповідності даних фізичної особи даним Державного реєстру.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2. Запит формується щодо однієї фізичної особи та повинен містити такі дані: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реєстраційний номер та дата (число, місяць, рік) запиту;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код згідно з Єдиним державним реєстром підприємств та організацій України (далі – код згідно з ЄДРПОУ) суб’єкта інформаційних відносин (органу ведення ЄДРПВР), що ініціював запит;</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реєстраційний номер облікової картки платника податків з Державного реєстру або серія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прізвище, власне ім’я, по батькові (за наявності) відповідальної особи суб’єкта інформаційних відносин (органу ведення ЄДРПВР), яка сформувала запит;</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 xml:space="preserve">реєстраційний номер облікової картки платника податків з Державного реєстру або серія (за наявності) та номер паспорта (для осіб, які через свої релігійні переконання </w:t>
      </w:r>
      <w:r w:rsidRPr="000F2851">
        <w:rPr>
          <w:rFonts w:ascii="Times New Roman" w:eastAsia="Times New Roman" w:hAnsi="Times New Roman" w:cs="Times New Roman"/>
          <w:sz w:val="24"/>
          <w:szCs w:val="24"/>
          <w:lang w:val="uk-UA" w:eastAsia="ru-RU"/>
        </w:rPr>
        <w:lastRenderedPageBreak/>
        <w:t>відмовляються від прийняття реєстраційного номера облікової картки платника податків відповідно до закону) фізичної особи;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прізвище, власне ім’я, по батькові (за наявності) фізичної особи;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дату народження фізичної особи (у разі відсутності даних про реєстраційний номер облікової картки платника податків з Державного реєстру або серію (за наявності) та номер паспорта);</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адресу задекларованого / зареєстрованого місця проживання (перебування) фізичної особи (за наявності такої інформації) (область, район області, населений пункт, тип вулиці, назва вулиці, номер будинку, корпусу і квартири);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період, за який запитується інформація про джерела доходів (становить один податковий (звітний) період, що передує податковому (звітному) періоду, в якому подається запит, з урахуванням граничних строків подання до контролюючих органів податкової звітності);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реквізити документів, що посвідчують особу (назва документів, серія, номер, дата видачі, ким видано), виданих фізичній особі (за наявності).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3. ДПС забезпечує обробку запитів та надає відповіді на запити органів ведення ЄДРПВР протягом трьох робочих днів з дня їх отримання.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4. Відповідь на запит містить такі відомості: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реєстраційний номер (відповідає номеру запиту, на який надається відповідь), дата (число, місяць, рік) відповіді на запит;</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результат обробки запиту.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Якщо фізичну особу ідентифіковано та в Державному реєстрі наявна запитувана інформація, відповідь на запит містить такі відомості: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щодо реєстрації фізичної особи в Державному реєстрі: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реєстраційний номер облікової картки платника податків або серія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відповідно до закону) фізичної особи;</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щодо джерел доходів:</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код згідно з ЄДРПОУ або реєстраційний номер облікової картки платника податків з Державного реєстру чи серія (за наявності)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відповідно до закону) і найменування або прізвище, власне ім’я, по батькові (за наявності) податкового агента;</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дата прийняття на роботу (за наявності);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дата звільнення з роботи (за наявності).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lastRenderedPageBreak/>
        <w:t>5. Інформація з Державного реєстру не надається, якщо:</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інформація про джерела доходів у Державному реєстрі відсутня;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у запиті зазначено недійсний (помилковий) реєстраційний номер облікової картки платника податків з Державного реєстру або фізична особа за вказаними у запиті серією (за наявності) та номером паспорта на обліку в Державному реєстрі не перебуває;</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реєстраційний номер облікової картки платника податків з Державного реєстру закрито або фізичну особу за вказаними в запиті серією (за наявності) та номером паспорта знято з обліку в Державному реєстрі у зв’язку зі смертю;</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не заповнено або некоректно заповнено поля, обов’язкові для заповнення;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реквізити, зазначені у запиті, зокрема реєстраційний номер облікової картки платника податків з Державного реєстру або серія (за наявності) та номер паспорта і прізвище, власне ім’я, по батькові (за наявності), не відповідають інформації, яка наявна в Державному реєстрі;</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некоректно вказано період, за який запитується інформація;</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некоректно заповнено поля про відповідальну особу суб’єкта інформаційних відносин (органу ведення ЄДРПВР), що сформувала запит.</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У разі неможливості надання інформації з Державного реєстру про це повідомляється запитувач із зазначенням підстав, визначених абзацами другим – восьмим цього пункту.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6. Після отримання запитів або відповідей суб’єкти інформаційних відносин проводять їх перевірку на відповідність вимогам щодо їх заповнення, встановленими пунктами 2, 4 цього розділу, вимогам щодо формату та структури, визначеними договорами про інформаційну взаємодію та/або протоколами, укладеними у встановленому законодавством порядку.</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7. Запити або відповіді вважаються неприйнятими та не обробляються, якщо такі запити або відповіді не пройшли перевірку згідно з пунктом 6 цього розділу або надані повторно.</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8. Про виявлені помилки суб’єкти інформаційних відносин протягом одного робочого дня інформують один одного в електронній формі шляхом направлення повідомлення про неприйняття запиту або відповіді із зазначенням причини неприйняття.</w:t>
      </w:r>
    </w:p>
    <w:p w:rsidR="000F2851" w:rsidRPr="000F2851" w:rsidRDefault="000F2851" w:rsidP="000F2851">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0F2851">
        <w:rPr>
          <w:rFonts w:ascii="Times New Roman" w:eastAsia="Times New Roman" w:hAnsi="Times New Roman" w:cs="Times New Roman"/>
          <w:b/>
          <w:bCs/>
          <w:sz w:val="27"/>
          <w:szCs w:val="27"/>
          <w:lang w:val="uk-UA" w:eastAsia="ru-RU"/>
        </w:rPr>
        <w:t>IV. Захист інформації під час електронної інформаційної взаємодії</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1. Інформація, що передається відповідно до цього Порядку, відноситься до інформації з обмеженим доступом відповідно до пункту 70.15.2 статті 70.15 глави 6 розділу II Податкового кодексу України та підлягає захисту відповідно до статті 10 Закону України “Про Єдиний державний реєстр призовників, військовозобов’язаних та резервістів”.</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2. Під час електронної інформаційної взаємодії ЄДРПВР та Державного реєстру відповідно до цього Порядку суб’єкти інформаційних відносин впроваджують організаційно-технічні заходи, які забезпечують захист інформації, що передається, з урахуванням ступеня обмеження доступу до неї та відповідно до законодавства у сфері захисту інформації.</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lastRenderedPageBreak/>
        <w:t>3. Для захисту інформації під час її передачі відповідно до цього Порядку застосовуються засоби криптографічного захисту інформації, що мають сертифікат відповідності або позитивний експертний висновок за результатами державної експертизи у сфері криптографічного захисту інформації.</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4. Міноборони та ДПС забезпечують збереження, захист та встановлений порядок доступу до отриманої інформації, а також повідомляють один одного про виявлені факти несанкціонованих дій щодо інформації в системі відповідно до законодавства.</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5. Завантажена до ЄДРПВР інформація обробляється в системі із застосуванням комплексної системи захисту інформації з підтвердженою відповідністю.</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sz w:val="24"/>
          <w:szCs w:val="24"/>
          <w:lang w:val="uk-UA" w:eastAsia="ru-RU"/>
        </w:rPr>
        <w:t>6. Інформація, що передається, обробляється з урахуванням вимог законодавства про захист персональних даних та використовується суб’єктами інформаційних відносин виключно з метою актуалізації відомостей, зазначених у пунктах 12 і 13 частини першої статті 7 Закону України “Про Єдиний державний реєстр призовників, військовозобов’язаних та резервістів”, що містяться в ЄДРПВР, і не може бути передана третій стороні, якщо інше не передбачено законом.</w:t>
      </w:r>
    </w:p>
    <w:p w:rsidR="000F2851" w:rsidRPr="000F2851" w:rsidRDefault="000F2851" w:rsidP="000F2851">
      <w:pPr>
        <w:spacing w:before="100" w:beforeAutospacing="1" w:after="100" w:afterAutospacing="1" w:line="240" w:lineRule="auto"/>
        <w:rPr>
          <w:rFonts w:ascii="Times New Roman" w:eastAsia="Times New Roman" w:hAnsi="Times New Roman" w:cs="Times New Roman"/>
          <w:sz w:val="24"/>
          <w:szCs w:val="24"/>
          <w:lang w:val="uk-UA" w:eastAsia="ru-RU"/>
        </w:rPr>
      </w:pPr>
      <w:r w:rsidRPr="000F2851">
        <w:rPr>
          <w:rFonts w:ascii="Times New Roman" w:eastAsia="Times New Roman" w:hAnsi="Times New Roman" w:cs="Times New Roman"/>
          <w:b/>
          <w:bCs/>
          <w:i/>
          <w:iCs/>
          <w:sz w:val="24"/>
          <w:szCs w:val="24"/>
          <w:lang w:val="uk-UA" w:eastAsia="ru-RU"/>
        </w:rPr>
        <w:t>Тимчасово виконуючий обов’язки</w:t>
      </w:r>
      <w:r w:rsidRPr="000F2851">
        <w:rPr>
          <w:rFonts w:ascii="Times New Roman" w:eastAsia="Times New Roman" w:hAnsi="Times New Roman" w:cs="Times New Roman"/>
          <w:b/>
          <w:bCs/>
          <w:i/>
          <w:iCs/>
          <w:sz w:val="24"/>
          <w:szCs w:val="24"/>
          <w:lang w:val="uk-UA" w:eastAsia="ru-RU"/>
        </w:rPr>
        <w:br/>
        <w:t>директора Директорату політик</w:t>
      </w:r>
      <w:r w:rsidRPr="000F2851">
        <w:rPr>
          <w:rFonts w:ascii="Times New Roman" w:eastAsia="Times New Roman" w:hAnsi="Times New Roman" w:cs="Times New Roman"/>
          <w:b/>
          <w:bCs/>
          <w:i/>
          <w:iCs/>
          <w:sz w:val="24"/>
          <w:szCs w:val="24"/>
          <w:lang w:val="uk-UA" w:eastAsia="ru-RU"/>
        </w:rPr>
        <w:br/>
        <w:t>цифровізації, цифрового розвитку,</w:t>
      </w:r>
      <w:r w:rsidRPr="000F2851">
        <w:rPr>
          <w:rFonts w:ascii="Times New Roman" w:eastAsia="Times New Roman" w:hAnsi="Times New Roman" w:cs="Times New Roman"/>
          <w:b/>
          <w:bCs/>
          <w:i/>
          <w:iCs/>
          <w:sz w:val="24"/>
          <w:szCs w:val="24"/>
          <w:lang w:val="uk-UA" w:eastAsia="ru-RU"/>
        </w:rPr>
        <w:br/>
        <w:t>цифрових трансформацій і кібербезпеки у</w:t>
      </w:r>
      <w:r w:rsidRPr="000F2851">
        <w:rPr>
          <w:rFonts w:ascii="Times New Roman" w:eastAsia="Times New Roman" w:hAnsi="Times New Roman" w:cs="Times New Roman"/>
          <w:b/>
          <w:bCs/>
          <w:i/>
          <w:iCs/>
          <w:sz w:val="24"/>
          <w:szCs w:val="24"/>
          <w:lang w:val="uk-UA" w:eastAsia="ru-RU"/>
        </w:rPr>
        <w:br/>
        <w:t>сфері оборони Міністерства оборони України</w:t>
      </w:r>
      <w:r w:rsidRPr="000F2851">
        <w:rPr>
          <w:rFonts w:ascii="Times New Roman" w:eastAsia="Times New Roman" w:hAnsi="Times New Roman" w:cs="Times New Roman"/>
          <w:b/>
          <w:bCs/>
          <w:i/>
          <w:iCs/>
          <w:sz w:val="24"/>
          <w:szCs w:val="24"/>
          <w:lang w:val="uk-UA" w:eastAsia="ru-RU"/>
        </w:rPr>
        <w:br/>
        <w:t>Євген КОВАЛЬОВ</w:t>
      </w:r>
      <w:r w:rsidRPr="000F2851">
        <w:rPr>
          <w:rFonts w:ascii="Times New Roman" w:eastAsia="Times New Roman" w:hAnsi="Times New Roman" w:cs="Times New Roman"/>
          <w:b/>
          <w:bCs/>
          <w:i/>
          <w:iCs/>
          <w:sz w:val="24"/>
          <w:szCs w:val="24"/>
          <w:lang w:val="uk-UA" w:eastAsia="ru-RU"/>
        </w:rPr>
        <w:br/>
        <w:t>Директор Департаменту забезпечення</w:t>
      </w:r>
      <w:r w:rsidRPr="000F2851">
        <w:rPr>
          <w:rFonts w:ascii="Times New Roman" w:eastAsia="Times New Roman" w:hAnsi="Times New Roman" w:cs="Times New Roman"/>
          <w:b/>
          <w:bCs/>
          <w:i/>
          <w:iCs/>
          <w:sz w:val="24"/>
          <w:szCs w:val="24"/>
          <w:lang w:val="uk-UA" w:eastAsia="ru-RU"/>
        </w:rPr>
        <w:br/>
        <w:t>координаційно-моніторингової роботи</w:t>
      </w:r>
      <w:r w:rsidRPr="000F2851">
        <w:rPr>
          <w:rFonts w:ascii="Times New Roman" w:eastAsia="Times New Roman" w:hAnsi="Times New Roman" w:cs="Times New Roman"/>
          <w:b/>
          <w:bCs/>
          <w:i/>
          <w:iCs/>
          <w:sz w:val="24"/>
          <w:szCs w:val="24"/>
          <w:lang w:val="uk-UA" w:eastAsia="ru-RU"/>
        </w:rPr>
        <w:br/>
        <w:t>Міністерства фінансів України</w:t>
      </w:r>
      <w:r w:rsidRPr="000F2851">
        <w:rPr>
          <w:rFonts w:ascii="Times New Roman" w:eastAsia="Times New Roman" w:hAnsi="Times New Roman" w:cs="Times New Roman"/>
          <w:b/>
          <w:bCs/>
          <w:i/>
          <w:iCs/>
          <w:sz w:val="24"/>
          <w:szCs w:val="24"/>
          <w:lang w:val="uk-UA" w:eastAsia="ru-RU"/>
        </w:rPr>
        <w:br/>
        <w:t>Юрій КОНЮШЕНКО</w:t>
      </w:r>
    </w:p>
    <w:p w:rsidR="00066F0A" w:rsidRPr="000F2851" w:rsidRDefault="00066F0A" w:rsidP="000F2851">
      <w:pPr>
        <w:rPr>
          <w:lang w:val="uk-UA"/>
        </w:rPr>
      </w:pPr>
    </w:p>
    <w:sectPr w:rsidR="00066F0A" w:rsidRPr="000F2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6"/>
    <w:rsid w:val="00066F0A"/>
    <w:rsid w:val="000D2AD5"/>
    <w:rsid w:val="000F2851"/>
    <w:rsid w:val="00304128"/>
    <w:rsid w:val="003217C6"/>
    <w:rsid w:val="00782D7C"/>
    <w:rsid w:val="00A4640E"/>
    <w:rsid w:val="00A9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5DFE4-3C88-46B0-A0BF-15D1FBF0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28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28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0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listparagraph">
    <w:name w:val="x_msolistparagraph"/>
    <w:basedOn w:val="a"/>
    <w:rsid w:val="000D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2AD5"/>
    <w:rPr>
      <w:i/>
      <w:iCs/>
    </w:rPr>
  </w:style>
  <w:style w:type="character" w:styleId="a5">
    <w:name w:val="Hyperlink"/>
    <w:basedOn w:val="a0"/>
    <w:uiPriority w:val="99"/>
    <w:unhideWhenUsed/>
    <w:rsid w:val="00A945B5"/>
    <w:rPr>
      <w:color w:val="0000FF"/>
      <w:u w:val="single"/>
    </w:rPr>
  </w:style>
  <w:style w:type="character" w:customStyle="1" w:styleId="20">
    <w:name w:val="Заголовок 2 Знак"/>
    <w:basedOn w:val="a0"/>
    <w:link w:val="2"/>
    <w:uiPriority w:val="9"/>
    <w:rsid w:val="000F28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2851"/>
    <w:rPr>
      <w:rFonts w:ascii="Times New Roman" w:eastAsia="Times New Roman" w:hAnsi="Times New Roman" w:cs="Times New Roman"/>
      <w:b/>
      <w:bCs/>
      <w:sz w:val="27"/>
      <w:szCs w:val="27"/>
      <w:lang w:eastAsia="ru-RU"/>
    </w:rPr>
  </w:style>
  <w:style w:type="paragraph" w:customStyle="1" w:styleId="has-text-align-center">
    <w:name w:val="has-text-align-center"/>
    <w:basedOn w:val="a"/>
    <w:rsid w:val="000F2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F2851"/>
    <w:rPr>
      <w:b/>
      <w:bCs/>
    </w:rPr>
  </w:style>
  <w:style w:type="paragraph" w:customStyle="1" w:styleId="has-text-align-right">
    <w:name w:val="has-text-align-right"/>
    <w:basedOn w:val="a"/>
    <w:rsid w:val="000F2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197">
      <w:bodyDiv w:val="1"/>
      <w:marLeft w:val="0"/>
      <w:marRight w:val="0"/>
      <w:marTop w:val="0"/>
      <w:marBottom w:val="0"/>
      <w:divBdr>
        <w:top w:val="none" w:sz="0" w:space="0" w:color="auto"/>
        <w:left w:val="none" w:sz="0" w:space="0" w:color="auto"/>
        <w:bottom w:val="none" w:sz="0" w:space="0" w:color="auto"/>
        <w:right w:val="none" w:sz="0" w:space="0" w:color="auto"/>
      </w:divBdr>
    </w:div>
    <w:div w:id="142352264">
      <w:bodyDiv w:val="1"/>
      <w:marLeft w:val="0"/>
      <w:marRight w:val="0"/>
      <w:marTop w:val="0"/>
      <w:marBottom w:val="0"/>
      <w:divBdr>
        <w:top w:val="none" w:sz="0" w:space="0" w:color="auto"/>
        <w:left w:val="none" w:sz="0" w:space="0" w:color="auto"/>
        <w:bottom w:val="none" w:sz="0" w:space="0" w:color="auto"/>
        <w:right w:val="none" w:sz="0" w:space="0" w:color="auto"/>
      </w:divBdr>
    </w:div>
    <w:div w:id="281889445">
      <w:bodyDiv w:val="1"/>
      <w:marLeft w:val="0"/>
      <w:marRight w:val="0"/>
      <w:marTop w:val="0"/>
      <w:marBottom w:val="0"/>
      <w:divBdr>
        <w:top w:val="none" w:sz="0" w:space="0" w:color="auto"/>
        <w:left w:val="none" w:sz="0" w:space="0" w:color="auto"/>
        <w:bottom w:val="none" w:sz="0" w:space="0" w:color="auto"/>
        <w:right w:val="none" w:sz="0" w:space="0" w:color="auto"/>
      </w:divBdr>
      <w:divsChild>
        <w:div w:id="755397764">
          <w:marLeft w:val="0"/>
          <w:marRight w:val="0"/>
          <w:marTop w:val="0"/>
          <w:marBottom w:val="0"/>
          <w:divBdr>
            <w:top w:val="none" w:sz="0" w:space="0" w:color="auto"/>
            <w:left w:val="none" w:sz="0" w:space="0" w:color="auto"/>
            <w:bottom w:val="none" w:sz="0" w:space="0" w:color="auto"/>
            <w:right w:val="none" w:sz="0" w:space="0" w:color="auto"/>
          </w:divBdr>
        </w:div>
      </w:divsChild>
    </w:div>
    <w:div w:id="1087459903">
      <w:bodyDiv w:val="1"/>
      <w:marLeft w:val="0"/>
      <w:marRight w:val="0"/>
      <w:marTop w:val="0"/>
      <w:marBottom w:val="0"/>
      <w:divBdr>
        <w:top w:val="none" w:sz="0" w:space="0" w:color="auto"/>
        <w:left w:val="none" w:sz="0" w:space="0" w:color="auto"/>
        <w:bottom w:val="none" w:sz="0" w:space="0" w:color="auto"/>
        <w:right w:val="none" w:sz="0" w:space="0" w:color="auto"/>
      </w:divBdr>
    </w:div>
    <w:div w:id="1336762891">
      <w:bodyDiv w:val="1"/>
      <w:marLeft w:val="0"/>
      <w:marRight w:val="0"/>
      <w:marTop w:val="0"/>
      <w:marBottom w:val="0"/>
      <w:divBdr>
        <w:top w:val="none" w:sz="0" w:space="0" w:color="auto"/>
        <w:left w:val="none" w:sz="0" w:space="0" w:color="auto"/>
        <w:bottom w:val="none" w:sz="0" w:space="0" w:color="auto"/>
        <w:right w:val="none" w:sz="0" w:space="0" w:color="auto"/>
      </w:divBdr>
    </w:div>
    <w:div w:id="1529945451">
      <w:bodyDiv w:val="1"/>
      <w:marLeft w:val="0"/>
      <w:marRight w:val="0"/>
      <w:marTop w:val="0"/>
      <w:marBottom w:val="0"/>
      <w:divBdr>
        <w:top w:val="none" w:sz="0" w:space="0" w:color="auto"/>
        <w:left w:val="none" w:sz="0" w:space="0" w:color="auto"/>
        <w:bottom w:val="none" w:sz="0" w:space="0" w:color="auto"/>
        <w:right w:val="none" w:sz="0" w:space="0" w:color="auto"/>
      </w:divBdr>
      <w:divsChild>
        <w:div w:id="1660842284">
          <w:marLeft w:val="0"/>
          <w:marRight w:val="0"/>
          <w:marTop w:val="0"/>
          <w:marBottom w:val="0"/>
          <w:divBdr>
            <w:top w:val="none" w:sz="0" w:space="0" w:color="auto"/>
            <w:left w:val="none" w:sz="0" w:space="0" w:color="auto"/>
            <w:bottom w:val="none" w:sz="0" w:space="0" w:color="auto"/>
            <w:right w:val="none" w:sz="0" w:space="0" w:color="auto"/>
          </w:divBdr>
        </w:div>
      </w:divsChild>
    </w:div>
    <w:div w:id="1855727006">
      <w:bodyDiv w:val="1"/>
      <w:marLeft w:val="0"/>
      <w:marRight w:val="0"/>
      <w:marTop w:val="0"/>
      <w:marBottom w:val="0"/>
      <w:divBdr>
        <w:top w:val="none" w:sz="0" w:space="0" w:color="auto"/>
        <w:left w:val="none" w:sz="0" w:space="0" w:color="auto"/>
        <w:bottom w:val="none" w:sz="0" w:space="0" w:color="auto"/>
        <w:right w:val="none" w:sz="0" w:space="0" w:color="auto"/>
      </w:divBdr>
    </w:div>
    <w:div w:id="2022776680">
      <w:bodyDiv w:val="1"/>
      <w:marLeft w:val="0"/>
      <w:marRight w:val="0"/>
      <w:marTop w:val="0"/>
      <w:marBottom w:val="0"/>
      <w:divBdr>
        <w:top w:val="none" w:sz="0" w:space="0" w:color="auto"/>
        <w:left w:val="none" w:sz="0" w:space="0" w:color="auto"/>
        <w:bottom w:val="none" w:sz="0" w:space="0" w:color="auto"/>
        <w:right w:val="none" w:sz="0" w:space="0" w:color="auto"/>
      </w:divBdr>
      <w:divsChild>
        <w:div w:id="80281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6</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2023-09-13T07:06:00Z</dcterms:created>
  <dcterms:modified xsi:type="dcterms:W3CDTF">2023-09-13T18:19:00Z</dcterms:modified>
</cp:coreProperties>
</file>