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95" w:rsidRPr="00621F95" w:rsidRDefault="00621F95" w:rsidP="00621F95">
      <w:pPr>
        <w:spacing w:before="330" w:after="165" w:line="240" w:lineRule="auto"/>
        <w:jc w:val="center"/>
        <w:outlineLvl w:val="1"/>
        <w:rPr>
          <w:rFonts w:ascii="inherit" w:eastAsia="Times New Roman" w:hAnsi="inherit" w:cs="Arial"/>
          <w:color w:val="293A55"/>
          <w:sz w:val="51"/>
          <w:szCs w:val="51"/>
          <w:lang w:eastAsia="ru-RU"/>
        </w:rPr>
      </w:pPr>
      <w:r w:rsidRPr="00621F95">
        <w:rPr>
          <w:rFonts w:ascii="inherit" w:eastAsia="Times New Roman" w:hAnsi="inherit" w:cs="Arial"/>
          <w:b/>
          <w:bCs/>
          <w:color w:val="293A55"/>
          <w:sz w:val="51"/>
          <w:szCs w:val="51"/>
          <w:lang w:eastAsia="ru-RU"/>
        </w:rPr>
        <w:t>МІНІСТЕРСТВО ВНУТРІШНІХ СПРАВ УКРАЇНИ</w:t>
      </w:r>
    </w:p>
    <w:p w:rsidR="00621F95" w:rsidRPr="00621F95" w:rsidRDefault="00621F95" w:rsidP="00621F95">
      <w:pPr>
        <w:spacing w:before="330" w:after="165" w:line="240" w:lineRule="auto"/>
        <w:jc w:val="center"/>
        <w:outlineLvl w:val="1"/>
        <w:rPr>
          <w:rFonts w:ascii="inherit" w:eastAsia="Times New Roman" w:hAnsi="inherit" w:cs="Arial"/>
          <w:color w:val="293A55"/>
          <w:sz w:val="51"/>
          <w:szCs w:val="51"/>
          <w:lang w:eastAsia="ru-RU"/>
        </w:rPr>
      </w:pPr>
      <w:r w:rsidRPr="00621F95">
        <w:rPr>
          <w:rFonts w:ascii="inherit" w:eastAsia="Times New Roman" w:hAnsi="inherit" w:cs="Arial"/>
          <w:b/>
          <w:bCs/>
          <w:color w:val="293A55"/>
          <w:sz w:val="51"/>
          <w:szCs w:val="51"/>
          <w:lang w:eastAsia="ru-RU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621F95" w:rsidRPr="00621F95" w:rsidTr="00621F95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332</w:t>
            </w:r>
          </w:p>
        </w:tc>
      </w:tr>
    </w:tbl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b/>
          <w:bCs/>
          <w:color w:val="293A55"/>
          <w:sz w:val="24"/>
          <w:szCs w:val="24"/>
          <w:lang w:eastAsia="ru-RU"/>
        </w:rPr>
        <w:t>Зареєстровано в Міністерстві юстиції України</w:t>
      </w:r>
      <w:r w:rsidRPr="00621F95">
        <w:rPr>
          <w:rFonts w:ascii="Arial" w:eastAsia="Times New Roman" w:hAnsi="Arial" w:cs="Arial"/>
          <w:b/>
          <w:bCs/>
          <w:color w:val="293A55"/>
          <w:sz w:val="24"/>
          <w:szCs w:val="24"/>
          <w:lang w:eastAsia="ru-RU"/>
        </w:rPr>
        <w:br/>
        <w:t>30 травня 2025 р. за N 842/44248</w:t>
      </w:r>
    </w:p>
    <w:p w:rsidR="00621F95" w:rsidRPr="00621F95" w:rsidRDefault="00621F95" w:rsidP="00621F95">
      <w:pPr>
        <w:spacing w:before="330" w:after="165" w:line="240" w:lineRule="auto"/>
        <w:outlineLvl w:val="1"/>
        <w:rPr>
          <w:rFonts w:ascii="inherit" w:eastAsia="Times New Roman" w:hAnsi="inherit" w:cs="Arial"/>
          <w:color w:val="293A55"/>
          <w:sz w:val="51"/>
          <w:szCs w:val="51"/>
          <w:lang w:eastAsia="ru-RU"/>
        </w:rPr>
      </w:pPr>
      <w:r w:rsidRPr="00621F95">
        <w:rPr>
          <w:rFonts w:ascii="inherit" w:eastAsia="Times New Roman" w:hAnsi="inherit" w:cs="Arial"/>
          <w:b/>
          <w:bCs/>
          <w:color w:val="293A55"/>
          <w:sz w:val="51"/>
          <w:szCs w:val="51"/>
          <w:lang w:eastAsia="ru-RU"/>
        </w:rPr>
        <w:t>Про внесення змін до наказу Міністерства внутрішніх справ України від 07 червня 2024 року N 398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Відповідно до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пункту 57 частини другої статті 17</w:t>
      </w:r>
      <w:r w:rsidRPr="00621F95">
        <w:rPr>
          <w:rFonts w:ascii="Arial" w:eastAsia="Times New Roman" w:hAnsi="Arial" w:cs="Arial"/>
          <w:color w:val="0000FF"/>
          <w:sz w:val="18"/>
          <w:szCs w:val="18"/>
          <w:vertAlign w:val="superscript"/>
          <w:lang w:eastAsia="ru-RU"/>
        </w:rPr>
        <w:t>1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Кодексу цивільного захисту України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частини восьмої статті 4 Закону України "Про основні засади державного нагляду (контролю) у сфері господарської діяльності"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частини вісімнадцятої статті 23 Закону України "Про державний ринковий нагляд і контроль нехарчової продукції"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 абзацу третього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частини тринадцятої статті 16 Закону України "Про ліцензування видів господарської діяльності"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 абзацу сьомого пункту 8 Порядку обліку пожеж та їх наслідків, затвердженого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постановою Кабінету Міністрів України від 26 грудня 2003 року N 2030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 (в редакції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постанови Кабінету Міністрів України від 05 грудня 2024 року N 1386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), абзацу третього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пункту 2 постанови Кабінету Міністрів України від 28 грудня 1992 року N 731 "Про затвердження Положення про державну реєстрацію нормативно-правових актів міністерств та інших органів виконавчої влади"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, з метою приведення нормативно-правового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акта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у відповідність до законодавства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b/>
          <w:bCs/>
          <w:color w:val="293A55"/>
          <w:sz w:val="24"/>
          <w:szCs w:val="24"/>
          <w:lang w:eastAsia="ru-RU"/>
        </w:rPr>
        <w:t>НАКАЗУЮ: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1.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Внести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до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наказу Міністерства внутрішніх справ України від 07 червня 2024 року N 398 "Про затвердження Порядку застосування засобів аудіо- та відеотехніки посадовими особами ДСНС під час здійснення заходів державного нагляду (контролю)"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 зареєстрованого в Міністерстві юстиції України 19 червня 2024 року за N 921/42266, такі зміни: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1) заголовок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"Про затвердження Порядку застосування засобів аудіо-, фото- та відеотехніки уповноваженими посадовими особами ДСНС";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2) пункт 1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"1. Затвердити Порядок застосування засобів аудіо-, фото- та відеотехніки уповноваженими посадовими особами ДСНС, що додається".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2. Затвердити Зміни до Порядку застосування засобів аудіо- та відеотехніки посадовими особами ДСНС під час здійснення заходів державного нагляду 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lastRenderedPageBreak/>
        <w:t>(контролю), затвердженого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наказом Міністерства внутрішніх справ України від 07 червня 2024 року N 398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 зареєстрованого в Міністерстві юстиції України 19 червня 2024 року за N 921/42266, що додаються.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3. Управлінню взаємодії з Державною службою України з надзвичайних ситуацій Міністерства внутрішніх справ України (Корева Ю.) забезпечити подання цього наказу на державну реєстрацію до Міністерства юстиції України в установленому порядку.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4. Цей наказ набирає чинності з дня його офіційного опублікування.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21F95" w:rsidRPr="00621F95" w:rsidTr="00621F9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Ігор КЛИМЕНКО</w:t>
            </w:r>
          </w:p>
        </w:tc>
      </w:tr>
      <w:tr w:rsidR="00621F95" w:rsidRPr="00621F95" w:rsidTr="00621F9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1F95" w:rsidRPr="00621F95" w:rsidTr="00621F9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Уповноважений Верховної Ради</w:t>
            </w: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України з прав людини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Дмитро ЛУБІНЕЦЬ</w:t>
            </w:r>
          </w:p>
        </w:tc>
      </w:tr>
      <w:tr w:rsidR="00621F95" w:rsidRPr="00621F95" w:rsidTr="00621F9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Перший заступник Міністра</w:t>
            </w: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цифрової трансформації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Олексій ВИСКУБ</w:t>
            </w:r>
          </w:p>
        </w:tc>
      </w:tr>
      <w:tr w:rsidR="00621F95" w:rsidRPr="00621F95" w:rsidTr="00621F95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 служби</w:t>
            </w: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України з надзвичайних ситуацій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1F95" w:rsidRPr="00621F95" w:rsidRDefault="00621F95" w:rsidP="00621F95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Андрій ДАНИК</w:t>
            </w:r>
          </w:p>
        </w:tc>
      </w:tr>
    </w:tbl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 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ЗАТВЕРДЖЕНО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>Наказ Міністерства внутрішніх справ України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>15 травня 2025 року N 332</w:t>
      </w:r>
    </w:p>
    <w:p w:rsidR="00621F95" w:rsidRPr="00621F95" w:rsidRDefault="00621F95" w:rsidP="00621F95">
      <w:pPr>
        <w:spacing w:before="330" w:after="165" w:line="240" w:lineRule="auto"/>
        <w:outlineLvl w:val="2"/>
        <w:rPr>
          <w:rFonts w:ascii="inherit" w:eastAsia="Times New Roman" w:hAnsi="inherit" w:cs="Arial"/>
          <w:color w:val="293A55"/>
          <w:sz w:val="42"/>
          <w:szCs w:val="42"/>
          <w:lang w:eastAsia="ru-RU"/>
        </w:rPr>
      </w:pPr>
      <w:r w:rsidRPr="00621F95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Зміни</w:t>
      </w:r>
      <w:r w:rsidRPr="00621F95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br/>
        <w:t>до </w:t>
      </w:r>
      <w:r w:rsidRPr="00621F95"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  <w:t>Порядку застосування засобів аудіо- та відеотехніки посадовими особами ДСНС під час здійснення заходів державного нагляду (контролю)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1. Заголовок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"Порядок застосування засобів аудіо-, фото- та відеотехніки уповноваженими посадовими особами ДСНС".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2. У розділі I: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1) пункти 1, 2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"1. Цей Порядок визначає механізм організації застосування уповноваженими посадовими особами ДСНС засобів аудіо-, фото та відеотехніки, що мають функції звукозапису, фото- і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відеозйомки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(далі - портативні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відеореєстратори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), доступу до звуко-, фото- і відеозаписів, зберігання, видачі та приймання портативних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відеореєстраторів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, а також зберігання, видалення та використання інформації, отриманої з портативних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відеореєстраторів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lastRenderedPageBreak/>
        <w:t xml:space="preserve">2. Застосування уповноваженими посадовими особами ДСНС портативних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відеореєстраторів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здійснюється за рішенням керівників органів (підрозділів) ДСНС з метою: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1) документування порушень вимог законодавства з питань пожежної та техногенної безпеки (адміністративних правопорушень, передбачених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статтями 77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77</w:t>
      </w:r>
      <w:r w:rsidRPr="00621F95">
        <w:rPr>
          <w:rFonts w:ascii="Arial" w:eastAsia="Times New Roman" w:hAnsi="Arial" w:cs="Arial"/>
          <w:color w:val="0000FF"/>
          <w:sz w:val="18"/>
          <w:szCs w:val="18"/>
          <w:vertAlign w:val="superscript"/>
          <w:lang w:eastAsia="ru-RU"/>
        </w:rPr>
        <w:t>1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120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164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175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175</w:t>
      </w:r>
      <w:r w:rsidRPr="00621F95">
        <w:rPr>
          <w:rFonts w:ascii="Arial" w:eastAsia="Times New Roman" w:hAnsi="Arial" w:cs="Arial"/>
          <w:color w:val="0000FF"/>
          <w:sz w:val="18"/>
          <w:szCs w:val="18"/>
          <w:vertAlign w:val="superscript"/>
          <w:lang w:eastAsia="ru-RU"/>
        </w:rPr>
        <w:t>2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175</w:t>
      </w:r>
      <w:r w:rsidRPr="00621F95">
        <w:rPr>
          <w:rFonts w:ascii="Arial" w:eastAsia="Times New Roman" w:hAnsi="Arial" w:cs="Arial"/>
          <w:color w:val="0000FF"/>
          <w:sz w:val="18"/>
          <w:szCs w:val="18"/>
          <w:vertAlign w:val="superscript"/>
          <w:lang w:eastAsia="ru-RU"/>
        </w:rPr>
        <w:t>3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183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185</w:t>
      </w:r>
      <w:r w:rsidRPr="00621F95">
        <w:rPr>
          <w:rFonts w:ascii="Arial" w:eastAsia="Times New Roman" w:hAnsi="Arial" w:cs="Arial"/>
          <w:color w:val="0000FF"/>
          <w:sz w:val="18"/>
          <w:szCs w:val="18"/>
          <w:vertAlign w:val="superscript"/>
          <w:lang w:eastAsia="ru-RU"/>
        </w:rPr>
        <w:t>14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188</w:t>
      </w:r>
      <w:r w:rsidRPr="00621F95">
        <w:rPr>
          <w:rFonts w:ascii="Arial" w:eastAsia="Times New Roman" w:hAnsi="Arial" w:cs="Arial"/>
          <w:color w:val="0000FF"/>
          <w:sz w:val="18"/>
          <w:szCs w:val="18"/>
          <w:vertAlign w:val="superscript"/>
          <w:lang w:eastAsia="ru-RU"/>
        </w:rPr>
        <w:t>8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,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188</w:t>
      </w:r>
      <w:r w:rsidRPr="00621F95">
        <w:rPr>
          <w:rFonts w:ascii="Arial" w:eastAsia="Times New Roman" w:hAnsi="Arial" w:cs="Arial"/>
          <w:color w:val="0000FF"/>
          <w:sz w:val="18"/>
          <w:szCs w:val="18"/>
          <w:vertAlign w:val="superscript"/>
          <w:lang w:eastAsia="ru-RU"/>
        </w:rPr>
        <w:t>37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 </w:t>
      </w:r>
      <w:r w:rsidRPr="00621F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Кодексу України про адміністративні правопорушення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);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2) фіксації процесу проведення планової або позапланової перевірки у сфері державного ринкового нагляду;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3) фіксації процесу здійснення планового або позапланового заходу державного нагляду (контролю) у сфері пожежної та техногенної безпеки чи кожної окремої дії;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4) фіксації процесу здійснення планової або позапланової перевірки за додержанням ліцензіатом вимог законодавства у сфері провадження господарської діяльності з надання послуг і виконання робіт протипожежного призначення;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5) фіксації процесу здійснення комплексних, контрольних та позапланових обстежень об'єктів фонду захисних споруд цивільного захисту;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6) фотофіксації об'єкта пожежі";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2) пункт 3 доповнити новим абзацом такого змісту: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"уповноважена посадова особа ДСНС - посадова особа, яка за своїми посадовими обов'язками визначена Головним державним інспектором України, заступником Головного державного інспектора України, старшим державним інспектором України, державним інспектором України з нагляду (контролю) у сфері пожежної та техногенної безпеки з числа посадових осіб апарату ДСНС, а також головним державним інспектором, заступником головного державного інспектора та державним інспектором з нагляду (контролю) у сфері пожежної та техногенної безпеки на відповідній території з числа посадових осіб територіальних органів ДСНС".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3. У розділі II:</w:t>
      </w:r>
      <w:bookmarkStart w:id="0" w:name="_GoBack"/>
      <w:bookmarkEnd w:id="0"/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1) пункти 3, 4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"3. Перед початком здійснення уповноваженими посадовими особами ДСНС заходів, визначених у пункті 2 розділу I цього Порядку, портативний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закріплюється на форменому одязі уповноваженої посадової особи ДСНС на грудях або на шоломі (якщо його конструкцією передбачено відповідні кріплення) так, щоб не створювати перешкод діям уповноваженої посадової особи ДСНС. У випадках, пов'язаних з необхідністю якісної фіксації процесу виконання службових обов'язків, уповноважені посадові особи ДСНС можуть тримати портативний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у руках.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4. Включення портативного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відеореєстратора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відбувається одночасно з початком здійснення заходів, визначених у пункті 2 розділу I цього Порядку, уповноваженою посадовою особою ДСНС.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Відеозйомка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ведеться безперервно до завершення виконання службових обов'язків, крім випадків, пов'язаних з виникненням в уповноваженої посадової особи ДСНС особистого приватного становища (відвідування вбиральні, перерви для приймання їжі).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lastRenderedPageBreak/>
        <w:t xml:space="preserve">У процесі включення портативного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відеореєстратора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уповноважена посадова особа ДСНС переконується в точності встановлених на пристрої дати та часу";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2) пункт 6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"6. Під час виконання службових обов'язків уповноважена посадова особа ДСНС забезпечує збереження та належні умови експлуатації виданого їй портативного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відеореєстратора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та не допускає його розряджання".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4. Абзац перший пункту 1 розділу III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"1. Під час здійснення заходів, визначених у пункті 2 розділу I цього Порядку, уповноваженим посадовим особам ДСНС забороняється:".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5. У тексті цього Порядку: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слова "посадова особа ДСНС" у всіх відмінках та числах замінити словами "уповноважена посадова особа ДСНС" у відповідних відмінках та числах;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слова "засіб аудіо- та відеотехніки" у всіх відмінках та числах замінити словами "портативний </w:t>
      </w:r>
      <w:proofErr w:type="spellStart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відеореєстратор</w:t>
      </w:r>
      <w:proofErr w:type="spellEnd"/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" у відповідних відмінках та числах.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6. У додатку до цього Порядку: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1) відмітку викласти в такій редакції: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"Додаток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>до Порядку застосування засобів аудіо-, фото- та відеотехніки уповноваженими посадовими особами ДСНС</w:t>
      </w: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>(пункт 2 розділу II)";</w:t>
      </w:r>
    </w:p>
    <w:p w:rsidR="00621F95" w:rsidRPr="00621F95" w:rsidRDefault="00621F95" w:rsidP="00621F9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621F95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2) у заголовку графи 2 таблиці слова "посадової особи ДСНС" замінити словами "уповноваженої посадової особи ДСНС".</w:t>
      </w:r>
    </w:p>
    <w:p w:rsidR="00066F0A" w:rsidRPr="00621F95" w:rsidRDefault="00066F0A"/>
    <w:sectPr w:rsidR="00066F0A" w:rsidRPr="0062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A9"/>
    <w:rsid w:val="00066F0A"/>
    <w:rsid w:val="000B45A9"/>
    <w:rsid w:val="00621F95"/>
    <w:rsid w:val="00782D7C"/>
    <w:rsid w:val="009F60DB"/>
    <w:rsid w:val="00A4640E"/>
    <w:rsid w:val="00B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B9166-E8B4-4EB7-8AF7-615531D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621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621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21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F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62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j">
    <w:name w:val="tj"/>
    <w:basedOn w:val="a"/>
    <w:rsid w:val="0062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l">
    <w:name w:val="tl"/>
    <w:basedOn w:val="a"/>
    <w:rsid w:val="0062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2025-06-05T18:18:00Z</dcterms:created>
  <dcterms:modified xsi:type="dcterms:W3CDTF">2025-06-05T20:57:00Z</dcterms:modified>
</cp:coreProperties>
</file>