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1A78D" w14:textId="77777777" w:rsidR="00801A78" w:rsidRDefault="00000000">
      <w:pPr>
        <w:spacing w:after="75"/>
        <w:jc w:val="center"/>
      </w:pPr>
      <w:bookmarkStart w:id="0" w:name="1"/>
      <w:r>
        <w:rPr>
          <w:noProof/>
        </w:rPr>
        <w:drawing>
          <wp:inline distT="0" distB="0" distL="0" distR="0" wp14:anchorId="37DD33FD" wp14:editId="3C204D4C">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14:paraId="1C35A70A" w14:textId="77777777" w:rsidR="00801A78" w:rsidRDefault="00000000">
      <w:pPr>
        <w:spacing w:after="75"/>
        <w:jc w:val="center"/>
      </w:pPr>
      <w:bookmarkStart w:id="1" w:name="2"/>
      <w:bookmarkEnd w:id="0"/>
      <w:r>
        <w:rPr>
          <w:rFonts w:ascii="Arial" w:hAnsi="Arial"/>
          <w:b/>
          <w:color w:val="000000"/>
          <w:sz w:val="21"/>
        </w:rPr>
        <w:t>ДЕРЖАВНА ПОДАТКОВА СЛУЖБА УКРАЇНИ</w:t>
      </w:r>
    </w:p>
    <w:p w14:paraId="5155E3CD" w14:textId="77777777" w:rsidR="00801A78" w:rsidRDefault="00000000">
      <w:pPr>
        <w:pStyle w:val="2"/>
        <w:spacing w:after="225"/>
        <w:jc w:val="center"/>
      </w:pPr>
      <w:bookmarkStart w:id="2" w:name="3"/>
      <w:bookmarkEnd w:id="1"/>
      <w:r>
        <w:rPr>
          <w:rFonts w:ascii="Arial" w:hAnsi="Arial"/>
          <w:color w:val="000000"/>
          <w:sz w:val="40"/>
        </w:rPr>
        <w:t>ІНДИВІДУАЛЬНА ПОДАТКОВА КОНСУЛЬТАЦІЯ</w:t>
      </w:r>
    </w:p>
    <w:p w14:paraId="67112003" w14:textId="77777777" w:rsidR="00801A78" w:rsidRDefault="00000000">
      <w:pPr>
        <w:spacing w:after="75"/>
        <w:jc w:val="center"/>
      </w:pPr>
      <w:bookmarkStart w:id="3" w:name="4"/>
      <w:bookmarkEnd w:id="2"/>
      <w:r>
        <w:rPr>
          <w:rFonts w:ascii="Arial" w:hAnsi="Arial"/>
          <w:b/>
          <w:color w:val="000000"/>
          <w:sz w:val="24"/>
        </w:rPr>
        <w:t>від 21.01.2026 р. N 459/ІПК/99-00-24-03-03 ІПК</w:t>
      </w:r>
    </w:p>
    <w:p w14:paraId="17060C8D" w14:textId="77777777" w:rsidR="00801A78" w:rsidRDefault="00000000">
      <w:pPr>
        <w:spacing w:after="75"/>
        <w:ind w:firstLine="240"/>
        <w:jc w:val="both"/>
      </w:pPr>
      <w:bookmarkStart w:id="4" w:name="5"/>
      <w:bookmarkEnd w:id="3"/>
      <w:r>
        <w:rPr>
          <w:rFonts w:ascii="Arial" w:hAnsi="Arial"/>
          <w:color w:val="000000"/>
          <w:sz w:val="24"/>
        </w:rPr>
        <w:t xml:space="preserve">Державна податкова служба України, керуючись </w:t>
      </w:r>
      <w:r>
        <w:rPr>
          <w:rFonts w:ascii="Arial" w:hAnsi="Arial"/>
          <w:color w:val="293A55"/>
          <w:sz w:val="24"/>
        </w:rPr>
        <w:t>ст. 52 Податкового кодексу України</w:t>
      </w:r>
      <w:r>
        <w:rPr>
          <w:rFonts w:ascii="Arial" w:hAnsi="Arial"/>
          <w:color w:val="000000"/>
          <w:sz w:val="24"/>
        </w:rPr>
        <w:t xml:space="preserve"> (далі - Кодекс), розглянула звернення [...] щодо практичного застосування норм чинного законодавства та в межах компетенції повідомляє.</w:t>
      </w:r>
    </w:p>
    <w:p w14:paraId="5E1C418E" w14:textId="77777777" w:rsidR="00801A78" w:rsidRDefault="00000000">
      <w:pPr>
        <w:spacing w:after="75"/>
        <w:ind w:firstLine="240"/>
        <w:jc w:val="both"/>
      </w:pPr>
      <w:bookmarkStart w:id="5" w:name="6"/>
      <w:bookmarkEnd w:id="4"/>
      <w:r>
        <w:rPr>
          <w:rFonts w:ascii="Arial" w:hAnsi="Arial"/>
          <w:color w:val="000000"/>
          <w:sz w:val="24"/>
        </w:rPr>
        <w:t>Платник податків у своєму зверненні повідомив, що 11 листопада 2025 року помер працівник, якому проведено остаточний розрахунок. У грудні 2025 року дружині виплачені кошти згідно наказу N [...]. В нарахування грудня входять: 1) оплата за надурочні години при підсумованому обліку робочого часу; 2) компенсація за невикористану відпустку.</w:t>
      </w:r>
    </w:p>
    <w:p w14:paraId="7D0BD799" w14:textId="77777777" w:rsidR="00801A78" w:rsidRDefault="00000000">
      <w:pPr>
        <w:spacing w:after="75"/>
        <w:ind w:firstLine="240"/>
        <w:jc w:val="both"/>
      </w:pPr>
      <w:bookmarkStart w:id="6" w:name="7"/>
      <w:bookmarkEnd w:id="5"/>
      <w:r>
        <w:rPr>
          <w:rFonts w:ascii="Arial" w:hAnsi="Arial"/>
          <w:color w:val="000000"/>
          <w:sz w:val="24"/>
        </w:rPr>
        <w:t>Таким чином, платник податків просить надати індивідуальну податкову консультацію з питання:</w:t>
      </w:r>
    </w:p>
    <w:p w14:paraId="4A5B01D1" w14:textId="77777777" w:rsidR="00801A78" w:rsidRDefault="00000000">
      <w:pPr>
        <w:spacing w:after="75"/>
        <w:ind w:firstLine="240"/>
        <w:jc w:val="both"/>
      </w:pPr>
      <w:bookmarkStart w:id="7" w:name="8"/>
      <w:bookmarkEnd w:id="6"/>
      <w:r>
        <w:rPr>
          <w:rFonts w:ascii="Arial" w:hAnsi="Arial"/>
          <w:color w:val="000000"/>
          <w:sz w:val="24"/>
        </w:rPr>
        <w:t>1. Чи нараховується єдиний внесок на загальнообов'язкове державне соціальне страхування (далі - єдиний внесок) на виплати, які нараховані померлому працівнику за надурочні години при підсумованому обліку робочого часу та компенсацію за невикористану відпустку?</w:t>
      </w:r>
    </w:p>
    <w:p w14:paraId="206184DF" w14:textId="77777777" w:rsidR="00801A78" w:rsidRDefault="00000000">
      <w:pPr>
        <w:spacing w:after="75"/>
        <w:ind w:firstLine="240"/>
        <w:jc w:val="both"/>
      </w:pPr>
      <w:bookmarkStart w:id="8" w:name="9"/>
      <w:bookmarkEnd w:id="7"/>
      <w:r>
        <w:rPr>
          <w:rFonts w:ascii="Arial" w:hAnsi="Arial"/>
          <w:color w:val="000000"/>
          <w:sz w:val="24"/>
        </w:rPr>
        <w:t xml:space="preserve">Правові та організаційні засади забезпечення збору та обліку єдиного внеску, умови та порядок нарахування і сплати, повноваження органу, що здійснює його збір та ведення обліку, визначає </w:t>
      </w:r>
      <w:r>
        <w:rPr>
          <w:rFonts w:ascii="Arial" w:hAnsi="Arial"/>
          <w:color w:val="293A55"/>
          <w:sz w:val="24"/>
        </w:rPr>
        <w:t>Закон України від 08 липня 2010 року N 2464-VI "Про збір та облік єдиного внеску на загальнообов'язкове державне соціальне страхування"</w:t>
      </w:r>
      <w:r>
        <w:rPr>
          <w:rFonts w:ascii="Arial" w:hAnsi="Arial"/>
          <w:color w:val="000000"/>
          <w:sz w:val="24"/>
        </w:rPr>
        <w:t xml:space="preserve"> (далі - Закон N 2464).</w:t>
      </w:r>
    </w:p>
    <w:p w14:paraId="58331F99" w14:textId="77777777" w:rsidR="00801A78" w:rsidRDefault="00000000">
      <w:pPr>
        <w:spacing w:after="75"/>
        <w:ind w:firstLine="240"/>
        <w:jc w:val="both"/>
      </w:pPr>
      <w:bookmarkStart w:id="9" w:name="10"/>
      <w:bookmarkEnd w:id="8"/>
      <w:r>
        <w:rPr>
          <w:rFonts w:ascii="Arial" w:hAnsi="Arial"/>
          <w:color w:val="293A55"/>
          <w:sz w:val="24"/>
        </w:rPr>
        <w:t>Пунктом 2 частини першої ст. 1 Закону N 2464</w:t>
      </w:r>
      <w:r>
        <w:rPr>
          <w:rFonts w:ascii="Arial" w:hAnsi="Arial"/>
          <w:color w:val="000000"/>
          <w:sz w:val="24"/>
        </w:rPr>
        <w:t xml:space="preserve"> визначено, що єдиний внесок - це консолідований страховий внесок, збір якого здійснюється до системи загальнообов'язкового державного соціального страхування в обов'язковому порядку та на регулярній основі з метою забезпечення захисту у випадках, передбачених законодавством, прав застрахованих осіб на отримання страхових виплат (послуг) за діючими видами загальнообов'язкового державного соціального страхування.</w:t>
      </w:r>
    </w:p>
    <w:p w14:paraId="3C502073" w14:textId="77777777" w:rsidR="00801A78" w:rsidRDefault="00000000">
      <w:pPr>
        <w:spacing w:after="75"/>
        <w:ind w:firstLine="240"/>
        <w:jc w:val="both"/>
      </w:pPr>
      <w:bookmarkStart w:id="10" w:name="11"/>
      <w:bookmarkEnd w:id="9"/>
      <w:r>
        <w:rPr>
          <w:rFonts w:ascii="Arial" w:hAnsi="Arial"/>
          <w:color w:val="000000"/>
          <w:sz w:val="24"/>
        </w:rPr>
        <w:t xml:space="preserve">Виключно </w:t>
      </w:r>
      <w:r>
        <w:rPr>
          <w:rFonts w:ascii="Arial" w:hAnsi="Arial"/>
          <w:color w:val="293A55"/>
          <w:sz w:val="24"/>
        </w:rPr>
        <w:t>Законом N 2464</w:t>
      </w:r>
      <w:r>
        <w:rPr>
          <w:rFonts w:ascii="Arial" w:hAnsi="Arial"/>
          <w:color w:val="000000"/>
          <w:sz w:val="24"/>
        </w:rPr>
        <w:t xml:space="preserve"> визначаються, зокрема, платники єдиного внеску (</w:t>
      </w:r>
      <w:r>
        <w:rPr>
          <w:rFonts w:ascii="Arial" w:hAnsi="Arial"/>
          <w:color w:val="293A55"/>
          <w:sz w:val="24"/>
        </w:rPr>
        <w:t>частина друга ст. 2 Закону N 2464</w:t>
      </w:r>
      <w:r>
        <w:rPr>
          <w:rFonts w:ascii="Arial" w:hAnsi="Arial"/>
          <w:color w:val="000000"/>
          <w:sz w:val="24"/>
        </w:rPr>
        <w:t>).</w:t>
      </w:r>
    </w:p>
    <w:p w14:paraId="68F9BCE2" w14:textId="77777777" w:rsidR="00801A78" w:rsidRDefault="00000000">
      <w:pPr>
        <w:spacing w:after="75"/>
        <w:ind w:firstLine="240"/>
        <w:jc w:val="both"/>
      </w:pPr>
      <w:bookmarkStart w:id="11" w:name="12"/>
      <w:bookmarkEnd w:id="10"/>
      <w:r>
        <w:rPr>
          <w:rFonts w:ascii="Arial" w:hAnsi="Arial"/>
          <w:color w:val="000000"/>
          <w:sz w:val="24"/>
        </w:rPr>
        <w:lastRenderedPageBreak/>
        <w:t xml:space="preserve">Відповідно до </w:t>
      </w:r>
      <w:r>
        <w:rPr>
          <w:rFonts w:ascii="Arial" w:hAnsi="Arial"/>
          <w:color w:val="293A55"/>
          <w:sz w:val="24"/>
        </w:rPr>
        <w:t>п. 1 частини першої ст. 4 Закону N 2464</w:t>
      </w:r>
      <w:r>
        <w:rPr>
          <w:rFonts w:ascii="Arial" w:hAnsi="Arial"/>
          <w:color w:val="000000"/>
          <w:sz w:val="24"/>
        </w:rPr>
        <w:t xml:space="preserve"> платниками єдиного внеску є роботодавці, зокрема підприємства, установи та організації, інші юридичні особи, утворені відповідно до законодавства України, незалежно від форми власності, виду діяльності та господарювання, які використовують працю фізичних осіб на умовах трудового договору (контракту) або на інших умовах, передбачених законодавством, чи за цивільно-правовими договорами.</w:t>
      </w:r>
    </w:p>
    <w:p w14:paraId="4FD01386" w14:textId="77777777" w:rsidR="00801A78" w:rsidRDefault="00000000">
      <w:pPr>
        <w:spacing w:after="75"/>
        <w:ind w:firstLine="240"/>
        <w:jc w:val="both"/>
      </w:pPr>
      <w:bookmarkStart w:id="12" w:name="13"/>
      <w:bookmarkEnd w:id="11"/>
      <w:r>
        <w:rPr>
          <w:rFonts w:ascii="Arial" w:hAnsi="Arial"/>
          <w:color w:val="293A55"/>
          <w:sz w:val="24"/>
        </w:rPr>
        <w:t>Пунктом 1 частини першої ст. 7 Закону N 2464</w:t>
      </w:r>
      <w:r>
        <w:rPr>
          <w:rFonts w:ascii="Arial" w:hAnsi="Arial"/>
          <w:color w:val="000000"/>
          <w:sz w:val="24"/>
        </w:rPr>
        <w:t xml:space="preserve"> визначено, що базою нарахування єдиного внеску для роботодавців є сума нарахованої кожній застрахованій особі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w:t>
      </w:r>
      <w:r>
        <w:rPr>
          <w:rFonts w:ascii="Arial" w:hAnsi="Arial"/>
          <w:color w:val="293A55"/>
          <w:sz w:val="24"/>
        </w:rPr>
        <w:t>Закону України від 24 березня 1995 року N 108/95-ВР "Про оплату праці"</w:t>
      </w:r>
      <w:r>
        <w:rPr>
          <w:rFonts w:ascii="Arial" w:hAnsi="Arial"/>
          <w:color w:val="000000"/>
          <w:sz w:val="24"/>
        </w:rPr>
        <w:t xml:space="preserve"> (далі - Закон N 108), та сума винагороди фізичним особам за виконання робіт (надання послуг) за цивільно-правовими договорами.</w:t>
      </w:r>
    </w:p>
    <w:p w14:paraId="7C89EB52" w14:textId="77777777" w:rsidR="00801A78" w:rsidRDefault="00000000">
      <w:pPr>
        <w:spacing w:after="75"/>
        <w:ind w:firstLine="240"/>
        <w:jc w:val="both"/>
      </w:pPr>
      <w:bookmarkStart w:id="13" w:name="14"/>
      <w:bookmarkEnd w:id="12"/>
      <w:r>
        <w:rPr>
          <w:rFonts w:ascii="Arial" w:hAnsi="Arial"/>
          <w:color w:val="000000"/>
          <w:sz w:val="24"/>
        </w:rPr>
        <w:t xml:space="preserve">Так, згідно з частиною першою </w:t>
      </w:r>
      <w:r>
        <w:rPr>
          <w:rFonts w:ascii="Arial" w:hAnsi="Arial"/>
          <w:color w:val="293A55"/>
          <w:sz w:val="24"/>
        </w:rPr>
        <w:t>ст. 1 Закону N 108</w:t>
      </w:r>
      <w:r>
        <w:rPr>
          <w:rFonts w:ascii="Arial" w:hAnsi="Arial"/>
          <w:color w:val="000000"/>
          <w:sz w:val="24"/>
        </w:rPr>
        <w:t xml:space="preserve"> заробітна плата - це винагорода, обчислена, як правило, у грошовому виразі, яку за трудовим договором роботодавець виплачує працівникові за виконану ним роботу.</w:t>
      </w:r>
    </w:p>
    <w:p w14:paraId="52159B5B" w14:textId="77777777" w:rsidR="00801A78" w:rsidRDefault="00000000">
      <w:pPr>
        <w:spacing w:after="75"/>
        <w:ind w:firstLine="240"/>
        <w:jc w:val="both"/>
      </w:pPr>
      <w:bookmarkStart w:id="14" w:name="15"/>
      <w:bookmarkEnd w:id="13"/>
      <w:r>
        <w:rPr>
          <w:rFonts w:ascii="Arial" w:hAnsi="Arial"/>
          <w:color w:val="000000"/>
          <w:sz w:val="24"/>
        </w:rPr>
        <w:t xml:space="preserve">Структура заробітної плати визначена </w:t>
      </w:r>
      <w:r>
        <w:rPr>
          <w:rFonts w:ascii="Arial" w:hAnsi="Arial"/>
          <w:color w:val="293A55"/>
          <w:sz w:val="24"/>
        </w:rPr>
        <w:t>ст. 2 Закону</w:t>
      </w:r>
      <w:r>
        <w:rPr>
          <w:rFonts w:ascii="Arial" w:hAnsi="Arial"/>
          <w:color w:val="000000"/>
          <w:sz w:val="24"/>
        </w:rPr>
        <w:t>, а саме:</w:t>
      </w:r>
    </w:p>
    <w:p w14:paraId="21F5C18F" w14:textId="77777777" w:rsidR="00801A78" w:rsidRDefault="00000000">
      <w:pPr>
        <w:spacing w:after="75"/>
        <w:ind w:firstLine="240"/>
        <w:jc w:val="both"/>
      </w:pPr>
      <w:bookmarkStart w:id="15" w:name="16"/>
      <w:bookmarkEnd w:id="14"/>
      <w:r>
        <w:rPr>
          <w:rFonts w:ascii="Arial" w:hAnsi="Arial"/>
          <w:color w:val="000000"/>
          <w:sz w:val="24"/>
        </w:rPr>
        <w:t>Основна заробітна плата. Це - винагорода за виконану роботу відповідно до встановлених норм праці (норми часу, виробітку, обслуговування, посадові обов'язки). Вона встановлюється у вигляді тарифних ставок (окладів) і відрядних розцінок для робітників та посадових окладів для службовців.</w:t>
      </w:r>
    </w:p>
    <w:p w14:paraId="6C0F5A12" w14:textId="77777777" w:rsidR="00801A78" w:rsidRDefault="00000000">
      <w:pPr>
        <w:spacing w:after="75"/>
        <w:ind w:firstLine="240"/>
        <w:jc w:val="both"/>
      </w:pPr>
      <w:bookmarkStart w:id="16" w:name="17"/>
      <w:bookmarkEnd w:id="15"/>
      <w:r>
        <w:rPr>
          <w:rFonts w:ascii="Arial" w:hAnsi="Arial"/>
          <w:color w:val="000000"/>
          <w:sz w:val="24"/>
        </w:rPr>
        <w:t>Додаткова заробітна плата. Це - винагорода за працю понад установлені норми, за трудові успіхи та винахідливість і за особливі умови праці. Вона включає доплати, надбавки, гарантійні і компенсаційні виплати, передбачені чинним законодавством; премії, пов'язані з виконанням виробничих завдань і функцій.</w:t>
      </w:r>
    </w:p>
    <w:p w14:paraId="23FF5D8D" w14:textId="77777777" w:rsidR="00801A78" w:rsidRDefault="00000000">
      <w:pPr>
        <w:spacing w:after="75"/>
        <w:ind w:firstLine="240"/>
        <w:jc w:val="both"/>
      </w:pPr>
      <w:bookmarkStart w:id="17" w:name="18"/>
      <w:bookmarkEnd w:id="16"/>
      <w:r>
        <w:rPr>
          <w:rFonts w:ascii="Arial" w:hAnsi="Arial"/>
          <w:color w:val="000000"/>
          <w:sz w:val="24"/>
        </w:rPr>
        <w:t>Інші заохочувальні та компенсаційні виплати. До них належать виплати у формі винагород за підсумками роботи за рік, премії за спеціальними системами і положеннями, виплати в рамках грантів, компенсаційні та інші грошові і матеріальні виплати, які не передбачені актами чинного законодавства, або які провадяться понад встановлені зазначеними актами норми.</w:t>
      </w:r>
    </w:p>
    <w:p w14:paraId="16B4AB30" w14:textId="77777777" w:rsidR="00801A78" w:rsidRDefault="00000000">
      <w:pPr>
        <w:spacing w:after="75"/>
        <w:ind w:firstLine="240"/>
        <w:jc w:val="both"/>
      </w:pPr>
      <w:bookmarkStart w:id="18" w:name="19"/>
      <w:bookmarkEnd w:id="17"/>
      <w:r>
        <w:rPr>
          <w:rFonts w:ascii="Arial" w:hAnsi="Arial"/>
          <w:color w:val="000000"/>
          <w:sz w:val="24"/>
        </w:rPr>
        <w:t xml:space="preserve">При цьому відповідно до </w:t>
      </w:r>
      <w:proofErr w:type="spellStart"/>
      <w:r>
        <w:rPr>
          <w:rFonts w:ascii="Arial" w:hAnsi="Arial"/>
          <w:color w:val="293A55"/>
          <w:sz w:val="24"/>
        </w:rPr>
        <w:t>пп</w:t>
      </w:r>
      <w:proofErr w:type="spellEnd"/>
      <w:r>
        <w:rPr>
          <w:rFonts w:ascii="Arial" w:hAnsi="Arial"/>
          <w:color w:val="293A55"/>
          <w:sz w:val="24"/>
        </w:rPr>
        <w:t>. 2.2.4</w:t>
      </w:r>
      <w:r>
        <w:rPr>
          <w:rFonts w:ascii="Arial" w:hAnsi="Arial"/>
          <w:color w:val="000000"/>
          <w:sz w:val="24"/>
        </w:rPr>
        <w:t xml:space="preserve"> та </w:t>
      </w:r>
      <w:r>
        <w:rPr>
          <w:rFonts w:ascii="Arial" w:hAnsi="Arial"/>
          <w:color w:val="293A55"/>
          <w:sz w:val="24"/>
        </w:rPr>
        <w:t>2.2.12 п. 2.2 Інструкції зі статистики заробітної плати</w:t>
      </w:r>
      <w:r>
        <w:rPr>
          <w:rFonts w:ascii="Arial" w:hAnsi="Arial"/>
          <w:color w:val="000000"/>
          <w:sz w:val="24"/>
        </w:rPr>
        <w:t xml:space="preserve">, затвердженою наказом Державного комітету статистики України від 13.01.2004 N 5 (далі - Інструкція N 5), фонд додаткової заробітної плати включає доплати, надбавки, гарантійні і компенсаційні виплати, передбачені чинним законодавством, премії, пов'язані з виконанням виробничих завдань і функцій. До складу фонду додаткової заробітної плати входять, зокрема оплата, а також суми грошових компенсацій у разі невикористання щорічних (основної та додаткових) відпусток та додаткових відпусток працівникам, які мають дітей, у розмірах, передбачених </w:t>
      </w:r>
      <w:r>
        <w:rPr>
          <w:rFonts w:ascii="Arial" w:hAnsi="Arial"/>
          <w:color w:val="000000"/>
          <w:sz w:val="24"/>
        </w:rPr>
        <w:lastRenderedPageBreak/>
        <w:t>законодавством та оплата роботи в надурочний час і у святкові та неробочі дні у розмірах та за розцінками, установленими чинним законодавством.</w:t>
      </w:r>
    </w:p>
    <w:p w14:paraId="2C18166C" w14:textId="77777777" w:rsidR="00801A78" w:rsidRDefault="00000000">
      <w:pPr>
        <w:spacing w:after="75"/>
        <w:ind w:firstLine="240"/>
        <w:jc w:val="both"/>
      </w:pPr>
      <w:bookmarkStart w:id="19" w:name="20"/>
      <w:bookmarkEnd w:id="18"/>
      <w:r>
        <w:rPr>
          <w:rFonts w:ascii="Arial" w:hAnsi="Arial"/>
          <w:color w:val="000000"/>
          <w:sz w:val="24"/>
        </w:rPr>
        <w:t xml:space="preserve">Єдиний внесок для платників, зазначених у </w:t>
      </w:r>
      <w:r>
        <w:rPr>
          <w:rFonts w:ascii="Arial" w:hAnsi="Arial"/>
          <w:color w:val="293A55"/>
          <w:sz w:val="24"/>
        </w:rPr>
        <w:t>ст. 4 Закону N 2464</w:t>
      </w:r>
      <w:r>
        <w:rPr>
          <w:rFonts w:ascii="Arial" w:hAnsi="Arial"/>
          <w:color w:val="000000"/>
          <w:sz w:val="24"/>
        </w:rPr>
        <w:t xml:space="preserve">, встановлюється у розмірі 22 відсотки до визначеної </w:t>
      </w:r>
      <w:r>
        <w:rPr>
          <w:rFonts w:ascii="Arial" w:hAnsi="Arial"/>
          <w:color w:val="293A55"/>
          <w:sz w:val="24"/>
        </w:rPr>
        <w:t>ст. 7 Закону N 2464</w:t>
      </w:r>
      <w:r>
        <w:rPr>
          <w:rFonts w:ascii="Arial" w:hAnsi="Arial"/>
          <w:color w:val="000000"/>
          <w:sz w:val="24"/>
        </w:rPr>
        <w:t xml:space="preserve"> бази нарахування єдиного внеску (</w:t>
      </w:r>
      <w:r>
        <w:rPr>
          <w:rFonts w:ascii="Arial" w:hAnsi="Arial"/>
          <w:color w:val="293A55"/>
          <w:sz w:val="24"/>
        </w:rPr>
        <w:t>частина п'ята ст. 8 Закону N 2464</w:t>
      </w:r>
      <w:r>
        <w:rPr>
          <w:rFonts w:ascii="Arial" w:hAnsi="Arial"/>
          <w:color w:val="000000"/>
          <w:sz w:val="24"/>
        </w:rPr>
        <w:t>).</w:t>
      </w:r>
    </w:p>
    <w:p w14:paraId="3320F9BD" w14:textId="77777777" w:rsidR="00801A78" w:rsidRDefault="00000000">
      <w:pPr>
        <w:spacing w:after="75"/>
        <w:ind w:firstLine="240"/>
        <w:jc w:val="both"/>
      </w:pPr>
      <w:bookmarkStart w:id="20" w:name="21"/>
      <w:bookmarkEnd w:id="19"/>
      <w:r>
        <w:rPr>
          <w:rFonts w:ascii="Arial" w:hAnsi="Arial"/>
          <w:color w:val="000000"/>
          <w:sz w:val="24"/>
        </w:rPr>
        <w:t>Разом з цим застрахована особа - фізична особа, яка відповідно до законодавства підлягає загальнообов'язковому державному соціальному страхуванню і сплачує (сплачувала) та/або за яку сплачується чи сплачувався у встановленому законом порядку єдиний внесок (</w:t>
      </w:r>
      <w:r>
        <w:rPr>
          <w:rFonts w:ascii="Arial" w:hAnsi="Arial"/>
          <w:color w:val="293A55"/>
          <w:sz w:val="24"/>
        </w:rPr>
        <w:t>п. 3 частини першої ст. 1 Закону N 2464</w:t>
      </w:r>
      <w:r>
        <w:rPr>
          <w:rFonts w:ascii="Arial" w:hAnsi="Arial"/>
          <w:color w:val="000000"/>
          <w:sz w:val="24"/>
        </w:rPr>
        <w:t>).</w:t>
      </w:r>
    </w:p>
    <w:p w14:paraId="13198C99" w14:textId="77777777" w:rsidR="00801A78" w:rsidRDefault="00000000">
      <w:pPr>
        <w:spacing w:after="75"/>
        <w:ind w:firstLine="240"/>
        <w:jc w:val="both"/>
      </w:pPr>
      <w:bookmarkStart w:id="21" w:name="22"/>
      <w:bookmarkEnd w:id="20"/>
      <w:r>
        <w:rPr>
          <w:rFonts w:ascii="Arial" w:hAnsi="Arial"/>
          <w:color w:val="000000"/>
          <w:sz w:val="24"/>
        </w:rPr>
        <w:t xml:space="preserve">Страхувальниками є роботодавці та інші особи, які відповідно до </w:t>
      </w:r>
      <w:r>
        <w:rPr>
          <w:rFonts w:ascii="Arial" w:hAnsi="Arial"/>
          <w:color w:val="293A55"/>
          <w:sz w:val="24"/>
        </w:rPr>
        <w:t>Закону N 2464</w:t>
      </w:r>
      <w:r>
        <w:rPr>
          <w:rFonts w:ascii="Arial" w:hAnsi="Arial"/>
          <w:color w:val="000000"/>
          <w:sz w:val="24"/>
        </w:rPr>
        <w:t xml:space="preserve"> зобов'язані сплачувати єдиний внесок (</w:t>
      </w:r>
      <w:r>
        <w:rPr>
          <w:rFonts w:ascii="Arial" w:hAnsi="Arial"/>
          <w:color w:val="293A55"/>
          <w:sz w:val="24"/>
        </w:rPr>
        <w:t>п. 10 частини першої ст. 1 Закону N 2464</w:t>
      </w:r>
      <w:r>
        <w:rPr>
          <w:rFonts w:ascii="Arial" w:hAnsi="Arial"/>
          <w:color w:val="000000"/>
          <w:sz w:val="24"/>
        </w:rPr>
        <w:t>).</w:t>
      </w:r>
    </w:p>
    <w:p w14:paraId="56338141" w14:textId="77777777" w:rsidR="00801A78" w:rsidRDefault="00000000">
      <w:pPr>
        <w:spacing w:after="75"/>
        <w:ind w:firstLine="240"/>
        <w:jc w:val="both"/>
      </w:pPr>
      <w:bookmarkStart w:id="22" w:name="23"/>
      <w:bookmarkEnd w:id="21"/>
      <w:r>
        <w:rPr>
          <w:rFonts w:ascii="Arial" w:hAnsi="Arial"/>
          <w:color w:val="000000"/>
          <w:sz w:val="24"/>
        </w:rPr>
        <w:t>Наказ (розпорядження) керівника підприємства про розірвання трудового договору з померлим працівником видається на підставі копії свідоцтва про смерть, в якому зазначено дату смерті працівника. Датою припинення трудових відносин є дата смерті працівника, яка не співпадає з датою видання наказу, оскільки оформлення припинення трудових відносин відбувається вже після їх фактичного припинення.</w:t>
      </w:r>
    </w:p>
    <w:p w14:paraId="10F272E2" w14:textId="77777777" w:rsidR="00801A78" w:rsidRDefault="00000000">
      <w:pPr>
        <w:spacing w:after="75"/>
        <w:ind w:firstLine="240"/>
        <w:jc w:val="both"/>
      </w:pPr>
      <w:bookmarkStart w:id="23" w:name="24"/>
      <w:bookmarkEnd w:id="22"/>
      <w:r>
        <w:rPr>
          <w:rFonts w:ascii="Arial" w:hAnsi="Arial"/>
          <w:color w:val="000000"/>
          <w:sz w:val="24"/>
        </w:rPr>
        <w:t>Враховуючи викладене, на суми грошових компенсацій за невикористані щорічні відпустки та за оплату за надурочні години при підсумованому обліку робочого часу, які нараховуються платником податків померлому працівнику за період, який закінчується днем його смерті, єдиний внесок нараховується та сплачується на загальних підставах.</w:t>
      </w:r>
    </w:p>
    <w:p w14:paraId="402DFA87" w14:textId="77777777" w:rsidR="00801A78" w:rsidRDefault="00000000">
      <w:pPr>
        <w:spacing w:after="75"/>
        <w:ind w:firstLine="240"/>
        <w:jc w:val="both"/>
      </w:pPr>
      <w:bookmarkStart w:id="24" w:name="25"/>
      <w:bookmarkEnd w:id="23"/>
      <w:r>
        <w:rPr>
          <w:rFonts w:ascii="Arial" w:hAnsi="Arial"/>
          <w:color w:val="000000"/>
          <w:sz w:val="24"/>
        </w:rPr>
        <w:t xml:space="preserve">Згідно з </w:t>
      </w:r>
      <w:r>
        <w:rPr>
          <w:rFonts w:ascii="Arial" w:hAnsi="Arial"/>
          <w:color w:val="293A55"/>
          <w:sz w:val="24"/>
        </w:rPr>
        <w:t>п. 52.2 ст. 52 Кодексу</w:t>
      </w:r>
      <w:r>
        <w:rPr>
          <w:rFonts w:ascii="Arial" w:hAnsi="Arial"/>
          <w:color w:val="000000"/>
          <w:sz w:val="24"/>
        </w:rPr>
        <w:t xml:space="preserve"> 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w:t>
      </w:r>
    </w:p>
    <w:p w14:paraId="3EF0F040" w14:textId="77777777" w:rsidR="00801A78" w:rsidRDefault="00000000">
      <w:pPr>
        <w:spacing w:after="75"/>
        <w:jc w:val="center"/>
      </w:pPr>
      <w:bookmarkStart w:id="25" w:name="26"/>
      <w:bookmarkEnd w:id="24"/>
      <w:r>
        <w:rPr>
          <w:rFonts w:ascii="Arial" w:hAnsi="Arial"/>
          <w:color w:val="000000"/>
          <w:sz w:val="24"/>
        </w:rPr>
        <w:t>____________</w:t>
      </w:r>
    </w:p>
    <w:p w14:paraId="3C3D8D9C" w14:textId="77777777" w:rsidR="00801A78" w:rsidRDefault="00801A78">
      <w:pPr>
        <w:spacing w:after="75"/>
        <w:ind w:firstLine="240"/>
        <w:jc w:val="both"/>
      </w:pPr>
      <w:bookmarkStart w:id="26" w:name="27"/>
      <w:bookmarkEnd w:id="25"/>
      <w:bookmarkEnd w:id="26"/>
    </w:p>
    <w:sectPr w:rsidR="00801A78">
      <w:pgSz w:w="11907" w:h="16839" w:code="9"/>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61900272">
    <w:abstractNumId w:val="1"/>
  </w:num>
  <w:num w:numId="2" w16cid:durableId="42949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01A78"/>
    <w:rsid w:val="00503CBC"/>
    <w:rsid w:val="00801A78"/>
    <w:rsid w:val="00F12D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C868A"/>
  <w15:docId w15:val="{24CB6B77-9A4A-49F5-856B-44E74FDD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4149</Words>
  <Characters>2366</Characters>
  <Application>Microsoft Office Word</Application>
  <DocSecurity>0</DocSecurity>
  <Lines>19</Lines>
  <Paragraphs>13</Paragraphs>
  <ScaleCrop>false</ScaleCrop>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Євген Токарев</cp:lastModifiedBy>
  <cp:revision>2</cp:revision>
  <dcterms:created xsi:type="dcterms:W3CDTF">2026-02-04T14:00:00Z</dcterms:created>
  <dcterms:modified xsi:type="dcterms:W3CDTF">2026-02-04T14:01:00Z</dcterms:modified>
</cp:coreProperties>
</file>